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39AC65" w14:textId="77777777" w:rsidR="00123B64" w:rsidRPr="001C2668" w:rsidRDefault="00123B64" w:rsidP="00FB5485">
      <w:pPr>
        <w:jc w:val="center"/>
        <w:rPr>
          <w:rFonts w:ascii="Cambria" w:hAnsi="Cambria"/>
          <w:b/>
          <w:bCs/>
        </w:rPr>
      </w:pPr>
      <w:r>
        <w:rPr>
          <w:rFonts w:ascii="Cambria" w:hAnsi="Cambria"/>
          <w:b/>
          <w:bCs/>
        </w:rPr>
        <w:t>COURSE DESCRIPTION</w:t>
      </w:r>
    </w:p>
    <w:p w14:paraId="589792E7" w14:textId="77777777" w:rsidR="00123B64" w:rsidRPr="001C2668" w:rsidRDefault="00123B64" w:rsidP="00FB5485">
      <w:pPr>
        <w:jc w:val="center"/>
        <w:rPr>
          <w:rFonts w:ascii="Cambria" w:hAnsi="Cambria"/>
          <w:i/>
          <w:iCs/>
          <w:color w:val="FF0000"/>
        </w:rPr>
      </w:pPr>
      <w:r>
        <w:rPr>
          <w:rFonts w:ascii="Cambria" w:hAnsi="Cambria"/>
        </w:rPr>
        <w:t>Studii de guvernanță și guvernare</w:t>
      </w:r>
      <w:r>
        <w:rPr>
          <w:rFonts w:ascii="Cambria" w:hAnsi="Cambria"/>
        </w:rPr>
        <w:br/>
        <w:t>Governance studies</w:t>
      </w:r>
    </w:p>
    <w:p w14:paraId="49EB9DA1" w14:textId="77777777" w:rsidR="00123B64" w:rsidRPr="001C2668" w:rsidRDefault="00123B64" w:rsidP="00FB5485">
      <w:pPr>
        <w:jc w:val="center"/>
        <w:rPr>
          <w:rFonts w:ascii="Cambria" w:hAnsi="Cambria"/>
        </w:rPr>
      </w:pPr>
      <w:r>
        <w:rPr>
          <w:rFonts w:ascii="Cambria" w:hAnsi="Cambria"/>
        </w:rPr>
        <w:t>Academic year 2026/2027</w:t>
      </w:r>
    </w:p>
    <w:p w14:paraId="6F0B1109" w14:textId="77777777" w:rsidR="002315D2" w:rsidRPr="001C2668" w:rsidRDefault="002315D2" w:rsidP="002315D2">
      <w:pPr>
        <w:rPr>
          <w:rFonts w:ascii="Cambria" w:hAnsi="Cambria"/>
          <w:color w:val="FF0000"/>
          <w:sz w:val="20"/>
          <w:szCs w:val="20"/>
        </w:rPr>
      </w:pPr>
    </w:p>
    <w:p w14:paraId="16998786"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566930B1" w14:textId="77777777" w:rsidTr="001A4AD8">
        <w:trPr>
          <w:trHeight w:val="284"/>
        </w:trPr>
        <w:tc>
          <w:tcPr>
            <w:tcW w:w="3545" w:type="dxa"/>
            <w:vAlign w:val="center"/>
          </w:tcPr>
          <w:p w14:paraId="1AF0DFE5"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25CA2138" w14:textId="77777777" w:rsidR="00000000" w:rsidRPr="008E036D" w:rsidRDefault="00000000" w:rsidP="00EE0E87">
            <w:pPr>
              <w:spacing w:after="0" w:line="240" w:lineRule="auto"/>
              <w:rPr>
                <w:rFonts w:cstheme="minorHAnsi"/>
              </w:rPr>
            </w:pPr>
            <w:r w:rsidRPr="008E036D">
              <w:rPr>
                <w:rFonts w:cstheme="minorHAnsi"/>
                <w:sz w:val="20"/>
                <w:szCs w:val="20"/>
              </w:rPr>
              <w:t>Babeş–Bolyai University, Cluj–Napoca</w:t>
            </w:r>
          </w:p>
        </w:tc>
      </w:tr>
      <w:tr w:rsidR="00D51618" w:rsidRPr="00D51618" w14:paraId="6A793F21" w14:textId="77777777" w:rsidTr="001A4AD8">
        <w:trPr>
          <w:trHeight w:val="284"/>
        </w:trPr>
        <w:tc>
          <w:tcPr>
            <w:tcW w:w="3545" w:type="dxa"/>
            <w:vAlign w:val="center"/>
          </w:tcPr>
          <w:p w14:paraId="1C7DDDDB"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23B4CF16" w14:textId="77777777" w:rsidR="00000000" w:rsidRPr="008E036D" w:rsidRDefault="00000000" w:rsidP="00EE0E87">
            <w:pPr>
              <w:spacing w:after="0" w:line="240" w:lineRule="auto"/>
              <w:rPr>
                <w:rFonts w:cstheme="minorHAnsi"/>
              </w:rPr>
            </w:pPr>
            <w:r w:rsidRPr="008E036D">
              <w:rPr>
                <w:rFonts w:cstheme="minorHAnsi"/>
                <w:sz w:val="20"/>
                <w:szCs w:val="20"/>
              </w:rPr>
              <w:t>Faculty of Political, Administrative and Communication Sciences</w:t>
            </w:r>
          </w:p>
        </w:tc>
      </w:tr>
      <w:tr w:rsidR="00D51618" w:rsidRPr="00D51618" w14:paraId="0041EA37" w14:textId="77777777" w:rsidTr="001A4AD8">
        <w:trPr>
          <w:trHeight w:val="284"/>
        </w:trPr>
        <w:tc>
          <w:tcPr>
            <w:tcW w:w="3545" w:type="dxa"/>
            <w:vAlign w:val="center"/>
          </w:tcPr>
          <w:p w14:paraId="4877C169"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3543AC9E" w14:textId="77777777" w:rsidR="00000000" w:rsidRPr="008E036D" w:rsidRDefault="00000000" w:rsidP="00EE0E87">
            <w:pPr>
              <w:spacing w:after="0" w:line="240" w:lineRule="auto"/>
              <w:rPr>
                <w:rFonts w:cstheme="minorHAnsi"/>
              </w:rPr>
            </w:pPr>
            <w:r w:rsidRPr="008E036D">
              <w:rPr>
                <w:rFonts w:cstheme="minorHAnsi"/>
                <w:sz w:val="20"/>
                <w:szCs w:val="20"/>
              </w:rPr>
              <w:t>Political Science</w:t>
            </w:r>
          </w:p>
        </w:tc>
      </w:tr>
      <w:tr w:rsidR="00D51618" w:rsidRPr="00D51618" w14:paraId="23B55E62" w14:textId="77777777" w:rsidTr="001A4AD8">
        <w:trPr>
          <w:trHeight w:val="284"/>
        </w:trPr>
        <w:tc>
          <w:tcPr>
            <w:tcW w:w="3545" w:type="dxa"/>
            <w:vAlign w:val="center"/>
          </w:tcPr>
          <w:p w14:paraId="7BC2F806"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01B1F94B" w14:textId="77777777" w:rsidR="00000000" w:rsidRPr="008E036D" w:rsidRDefault="00000000" w:rsidP="00EE0E87">
            <w:pPr>
              <w:spacing w:after="0" w:line="240" w:lineRule="auto"/>
              <w:rPr>
                <w:rFonts w:cstheme="minorHAnsi"/>
              </w:rPr>
            </w:pPr>
            <w:r w:rsidRPr="008E036D">
              <w:rPr>
                <w:rFonts w:cstheme="minorHAnsi"/>
                <w:sz w:val="20"/>
                <w:szCs w:val="20"/>
              </w:rPr>
              <w:t>Political Science</w:t>
            </w:r>
          </w:p>
        </w:tc>
      </w:tr>
      <w:tr w:rsidR="00D51618" w:rsidRPr="00D51618" w14:paraId="03E784A5" w14:textId="77777777" w:rsidTr="001A4AD8">
        <w:trPr>
          <w:trHeight w:val="284"/>
        </w:trPr>
        <w:tc>
          <w:tcPr>
            <w:tcW w:w="3545" w:type="dxa"/>
            <w:vAlign w:val="center"/>
          </w:tcPr>
          <w:p w14:paraId="7FF2888D"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166D8DD9" w14:textId="77777777" w:rsidR="00000000" w:rsidRPr="008E036D" w:rsidRDefault="00000000" w:rsidP="00EE0E87">
            <w:pPr>
              <w:spacing w:after="0" w:line="240" w:lineRule="auto"/>
              <w:rPr>
                <w:rFonts w:cstheme="minorHAnsi"/>
              </w:rPr>
            </w:pPr>
            <w:r w:rsidRPr="008E036D">
              <w:rPr>
                <w:rFonts w:cstheme="minorHAnsi"/>
                <w:sz w:val="20"/>
                <w:szCs w:val="20"/>
              </w:rPr>
              <w:t>Unde</w:t>
            </w:r>
            <w:r w:rsidRPr="008E036D">
              <w:rPr>
                <w:rFonts w:cstheme="minorHAnsi"/>
                <w:sz w:val="20"/>
                <w:szCs w:val="20"/>
              </w:rPr>
              <w:t>r</w:t>
            </w:r>
            <w:r w:rsidRPr="008E036D">
              <w:rPr>
                <w:rFonts w:cstheme="minorHAnsi"/>
                <w:sz w:val="20"/>
                <w:szCs w:val="20"/>
              </w:rPr>
              <w:t>graduate</w:t>
            </w:r>
          </w:p>
        </w:tc>
      </w:tr>
      <w:tr w:rsidR="00D51618" w:rsidRPr="00D51618" w14:paraId="253DFE75" w14:textId="77777777" w:rsidTr="001A4AD8">
        <w:trPr>
          <w:trHeight w:val="284"/>
        </w:trPr>
        <w:tc>
          <w:tcPr>
            <w:tcW w:w="3545" w:type="dxa"/>
            <w:vAlign w:val="center"/>
          </w:tcPr>
          <w:p w14:paraId="63D8540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7D1B8EB0" w14:textId="77777777" w:rsidR="00000000" w:rsidRPr="008E036D" w:rsidRDefault="00000000" w:rsidP="00EE0E87">
            <w:pPr>
              <w:spacing w:after="0" w:line="240" w:lineRule="auto"/>
              <w:rPr>
                <w:rFonts w:cstheme="minorHAnsi"/>
              </w:rPr>
            </w:pPr>
            <w:r w:rsidRPr="008E036D">
              <w:rPr>
                <w:rFonts w:cstheme="minorHAnsi"/>
                <w:sz w:val="20"/>
                <w:szCs w:val="20"/>
              </w:rPr>
              <w:t>Political Science</w:t>
            </w:r>
          </w:p>
        </w:tc>
      </w:tr>
      <w:tr w:rsidR="00D51618" w:rsidRPr="00D51618" w14:paraId="7671F0CF" w14:textId="77777777" w:rsidTr="001A4AD8">
        <w:trPr>
          <w:trHeight w:val="284"/>
        </w:trPr>
        <w:tc>
          <w:tcPr>
            <w:tcW w:w="3545" w:type="dxa"/>
            <w:vAlign w:val="center"/>
          </w:tcPr>
          <w:p w14:paraId="5657A665"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7B974D00" w14:textId="77777777" w:rsidR="00147217" w:rsidRDefault="00000000">
            <w:pPr>
              <w:spacing w:after="0" w:line="240" w:lineRule="auto"/>
            </w:pPr>
            <w:r>
              <w:rPr>
                <w:rFonts w:ascii="Cambria" w:hAnsi="Cambria"/>
                <w:sz w:val="20"/>
              </w:rPr>
              <w:t>Full-time</w:t>
            </w:r>
          </w:p>
        </w:tc>
      </w:tr>
    </w:tbl>
    <w:p w14:paraId="0C302020" w14:textId="77777777" w:rsidR="00FC204E" w:rsidRPr="001C2668" w:rsidRDefault="00FC204E" w:rsidP="00886616">
      <w:pPr>
        <w:spacing w:after="0"/>
        <w:rPr>
          <w:rFonts w:ascii="Cambria" w:hAnsi="Cambria"/>
          <w:b/>
          <w:sz w:val="20"/>
          <w:szCs w:val="20"/>
        </w:rPr>
      </w:pPr>
    </w:p>
    <w:p w14:paraId="2D4D26E5"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229041DA" w14:textId="77777777" w:rsidTr="00602932">
        <w:trPr>
          <w:trHeight w:val="284"/>
        </w:trPr>
        <w:tc>
          <w:tcPr>
            <w:tcW w:w="1584" w:type="dxa"/>
            <w:vAlign w:val="center"/>
          </w:tcPr>
          <w:p w14:paraId="03D9ECAC"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5A592EEA" w14:textId="77777777" w:rsidR="00000000" w:rsidRPr="008E036D" w:rsidRDefault="00000000" w:rsidP="00EE0E87">
            <w:pPr>
              <w:spacing w:after="0" w:line="240" w:lineRule="auto"/>
              <w:rPr>
                <w:rFonts w:cstheme="minorHAnsi"/>
              </w:rPr>
            </w:pPr>
            <w:r w:rsidRPr="008E036D">
              <w:rPr>
                <w:rFonts w:cstheme="minorHAnsi"/>
                <w:sz w:val="20"/>
                <w:szCs w:val="20"/>
              </w:rPr>
              <w:t>Studii de guvernanță și guvernare</w:t>
            </w:r>
          </w:p>
          <w:p w14:paraId="2A69BC33" w14:textId="77777777" w:rsidR="00000000" w:rsidRPr="008E036D" w:rsidRDefault="00000000" w:rsidP="00EE0E87">
            <w:pPr>
              <w:spacing w:after="0" w:line="240" w:lineRule="auto"/>
              <w:rPr>
                <w:rFonts w:cstheme="minorHAnsi"/>
              </w:rPr>
            </w:pPr>
            <w:r w:rsidRPr="008E036D">
              <w:rPr>
                <w:rFonts w:cstheme="minorHAnsi"/>
                <w:sz w:val="20"/>
                <w:szCs w:val="20"/>
              </w:rPr>
              <w:t>Governance studies</w:t>
            </w:r>
          </w:p>
        </w:tc>
        <w:tc>
          <w:tcPr>
            <w:tcW w:w="1276" w:type="dxa"/>
            <w:vAlign w:val="center"/>
          </w:tcPr>
          <w:p w14:paraId="3565A74D"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17D00659" w14:textId="77777777" w:rsidR="00000000" w:rsidRPr="008E036D" w:rsidRDefault="00000000" w:rsidP="002B05CE">
            <w:pPr>
              <w:spacing w:after="0" w:line="240" w:lineRule="auto"/>
              <w:ind w:left="-82" w:right="-164"/>
              <w:rPr>
                <w:rFonts w:cstheme="minorHAnsi"/>
              </w:rPr>
            </w:pPr>
            <w:r w:rsidRPr="008E036D">
              <w:rPr>
                <w:rFonts w:cstheme="minorHAnsi"/>
                <w:sz w:val="20"/>
                <w:szCs w:val="20"/>
              </w:rPr>
              <w:t>ULE1632</w:t>
            </w:r>
          </w:p>
        </w:tc>
      </w:tr>
      <w:tr w:rsidR="008F5E28" w:rsidRPr="00972DAD" w14:paraId="2016E324" w14:textId="77777777" w:rsidTr="00772644">
        <w:trPr>
          <w:trHeight w:val="284"/>
        </w:trPr>
        <w:tc>
          <w:tcPr>
            <w:tcW w:w="2577" w:type="dxa"/>
            <w:gridSpan w:val="3"/>
            <w:vAlign w:val="center"/>
          </w:tcPr>
          <w:p w14:paraId="133B008B"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59909EC0" w14:textId="77777777" w:rsidR="00000000" w:rsidRPr="008E036D" w:rsidRDefault="00000000" w:rsidP="002B05CE">
            <w:pPr>
              <w:spacing w:after="0" w:line="240" w:lineRule="auto"/>
              <w:jc w:val="both"/>
              <w:rPr>
                <w:rFonts w:cstheme="minorHAnsi"/>
              </w:rPr>
            </w:pPr>
            <w:r w:rsidRPr="008E036D">
              <w:rPr>
                <w:rFonts w:cstheme="minorHAnsi"/>
                <w:sz w:val="20"/>
                <w:szCs w:val="20"/>
              </w:rPr>
              <w:t>Lector Univ. Dr. Anca Sinea (sinea@fspac.ro)</w:t>
            </w:r>
          </w:p>
          <w:p w14:paraId="1C2705D1" w14:textId="77777777" w:rsidR="00000000" w:rsidRPr="008E036D" w:rsidRDefault="00000000" w:rsidP="002B05CE">
            <w:pPr>
              <w:spacing w:after="0" w:line="240" w:lineRule="auto"/>
              <w:rPr>
                <w:rFonts w:cstheme="minorHAnsi"/>
              </w:rPr>
            </w:pPr>
            <w:r w:rsidRPr="008E036D">
              <w:rPr>
                <w:rFonts w:cstheme="minorHAnsi"/>
                <w:sz w:val="20"/>
                <w:szCs w:val="20"/>
              </w:rPr>
              <w:t>(office hours: Friday, 14.00-16.00, room 204, building FSPAC 2)</w:t>
            </w:r>
          </w:p>
        </w:tc>
      </w:tr>
      <w:tr w:rsidR="008F5E28" w:rsidRPr="00972DAD" w14:paraId="126BCE85" w14:textId="77777777" w:rsidTr="00772644">
        <w:trPr>
          <w:trHeight w:val="284"/>
        </w:trPr>
        <w:tc>
          <w:tcPr>
            <w:tcW w:w="2577" w:type="dxa"/>
            <w:gridSpan w:val="3"/>
            <w:tcBorders>
              <w:bottom w:val="single" w:sz="4" w:space="0" w:color="auto"/>
            </w:tcBorders>
            <w:vAlign w:val="center"/>
          </w:tcPr>
          <w:p w14:paraId="2914A91B"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18A84029" w14:textId="77777777" w:rsidR="00000000" w:rsidRPr="008E036D" w:rsidRDefault="00000000" w:rsidP="002B05CE">
            <w:pPr>
              <w:spacing w:after="0" w:line="240" w:lineRule="auto"/>
              <w:jc w:val="both"/>
              <w:rPr>
                <w:rFonts w:cstheme="minorHAnsi"/>
              </w:rPr>
            </w:pPr>
            <w:r w:rsidRPr="008E036D">
              <w:rPr>
                <w:rFonts w:cstheme="minorHAnsi"/>
                <w:sz w:val="20"/>
                <w:szCs w:val="20"/>
              </w:rPr>
              <w:t>Lector Univ. Dr. Anca Sinea (sinea@fspac.ro)</w:t>
            </w:r>
          </w:p>
          <w:p w14:paraId="09B22616" w14:textId="77777777" w:rsidR="00000000" w:rsidRPr="008E036D" w:rsidRDefault="00000000" w:rsidP="002B05CE">
            <w:pPr>
              <w:spacing w:after="0" w:line="240" w:lineRule="auto"/>
              <w:rPr>
                <w:rFonts w:cstheme="minorHAnsi"/>
              </w:rPr>
            </w:pPr>
            <w:r w:rsidRPr="008E036D">
              <w:rPr>
                <w:rFonts w:cstheme="minorHAnsi"/>
                <w:sz w:val="20"/>
                <w:szCs w:val="20"/>
              </w:rPr>
              <w:t>(office hours: Friday, 14.00-16.00, room 204, building FSPAC 2)</w:t>
            </w:r>
          </w:p>
        </w:tc>
      </w:tr>
      <w:tr w:rsidR="00772644" w:rsidRPr="00CB7D36" w14:paraId="300B852D"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4CDE8474"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0F8C4291" w14:textId="77777777" w:rsidR="00000000" w:rsidRPr="008E036D" w:rsidRDefault="00000000" w:rsidP="002B05CE">
            <w:pPr>
              <w:spacing w:after="0" w:line="240" w:lineRule="auto"/>
              <w:rPr>
                <w:rFonts w:cstheme="minorHAnsi"/>
              </w:rPr>
            </w:pPr>
            <w:r w:rsidRPr="008E036D">
              <w:rPr>
                <w:rFonts w:cstheme="minorHAnsi"/>
                <w:sz w:val="20"/>
                <w:szCs w:val="20"/>
              </w:rPr>
              <w:t>3</w:t>
            </w:r>
          </w:p>
        </w:tc>
        <w:tc>
          <w:tcPr>
            <w:tcW w:w="1417" w:type="dxa"/>
            <w:tcBorders>
              <w:top w:val="single" w:sz="4" w:space="0" w:color="auto"/>
              <w:left w:val="single" w:sz="4" w:space="0" w:color="auto"/>
              <w:bottom w:val="single" w:sz="4" w:space="0" w:color="auto"/>
              <w:right w:val="single" w:sz="4" w:space="0" w:color="auto"/>
            </w:tcBorders>
            <w:vAlign w:val="center"/>
          </w:tcPr>
          <w:p w14:paraId="12E261C9"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11CE1CD6" w14:textId="77777777" w:rsidR="00000000" w:rsidRPr="008E036D" w:rsidRDefault="00000000" w:rsidP="002B05CE">
            <w:pPr>
              <w:spacing w:after="0" w:line="240" w:lineRule="auto"/>
              <w:rPr>
                <w:rFonts w:cstheme="minorHAnsi"/>
              </w:rPr>
            </w:pPr>
            <w:r w:rsidRPr="008E036D">
              <w:rPr>
                <w:rFonts w:cstheme="minorHAnsi"/>
                <w:sz w:val="20"/>
                <w:szCs w:val="20"/>
              </w:rPr>
              <w:t>6</w:t>
            </w:r>
          </w:p>
        </w:tc>
        <w:tc>
          <w:tcPr>
            <w:tcW w:w="3260" w:type="dxa"/>
            <w:tcBorders>
              <w:top w:val="single" w:sz="4" w:space="0" w:color="auto"/>
              <w:left w:val="single" w:sz="4" w:space="0" w:color="auto"/>
              <w:bottom w:val="single" w:sz="4" w:space="0" w:color="auto"/>
              <w:right w:val="single" w:sz="4" w:space="0" w:color="auto"/>
            </w:tcBorders>
            <w:vAlign w:val="center"/>
          </w:tcPr>
          <w:p w14:paraId="2B34F5CA"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29C61B21" w14:textId="77777777" w:rsidR="00000000" w:rsidRPr="008E036D" w:rsidRDefault="00000000" w:rsidP="002B05CE">
            <w:pPr>
              <w:spacing w:after="0" w:line="240" w:lineRule="auto"/>
              <w:rPr>
                <w:rFonts w:cstheme="minorHAnsi"/>
              </w:rPr>
            </w:pPr>
            <w:r w:rsidRPr="008E036D">
              <w:rPr>
                <w:rFonts w:cstheme="minorHAnsi"/>
                <w:sz w:val="20"/>
                <w:szCs w:val="20"/>
              </w:rPr>
              <w:t>E</w:t>
            </w:r>
          </w:p>
        </w:tc>
      </w:tr>
      <w:tr w:rsidR="00772644" w:rsidRPr="00CB7D36" w14:paraId="3274734F"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4500CE10"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AEE16ED" w14:textId="77777777" w:rsidR="00000000" w:rsidRPr="008E036D" w:rsidRDefault="00000000" w:rsidP="002B05CE">
            <w:pPr>
              <w:spacing w:after="0" w:line="240" w:lineRule="auto"/>
              <w:rPr>
                <w:rFonts w:cstheme="minorHAnsi"/>
              </w:rPr>
            </w:pPr>
            <w:r w:rsidRPr="008E036D">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2AF25725"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2E05E023"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38787A50" w14:textId="77777777" w:rsidR="00586682" w:rsidRDefault="00586682" w:rsidP="00E463DB">
      <w:pPr>
        <w:suppressAutoHyphens/>
        <w:spacing w:after="0"/>
        <w:ind w:right="-765" w:firstLine="720"/>
        <w:rPr>
          <w:rFonts w:ascii="Cambria" w:hAnsi="Cambria"/>
          <w:sz w:val="20"/>
          <w:szCs w:val="20"/>
        </w:rPr>
      </w:pPr>
    </w:p>
    <w:p w14:paraId="00F91606"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57325030" w14:textId="77777777" w:rsidTr="001A6D53">
        <w:trPr>
          <w:trHeight w:val="284"/>
        </w:trPr>
        <w:tc>
          <w:tcPr>
            <w:tcW w:w="3397" w:type="dxa"/>
            <w:tcBorders>
              <w:bottom w:val="single" w:sz="4" w:space="0" w:color="auto"/>
            </w:tcBorders>
            <w:vAlign w:val="center"/>
          </w:tcPr>
          <w:p w14:paraId="6ECE982D"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06B0F8CE" w14:textId="77777777" w:rsidR="00000000" w:rsidRPr="008E036D" w:rsidRDefault="00000000" w:rsidP="00EE0E87">
            <w:pPr>
              <w:spacing w:after="0" w:line="240" w:lineRule="auto"/>
              <w:jc w:val="right"/>
              <w:rPr>
                <w:rFonts w:cstheme="minorHAnsi"/>
              </w:rPr>
            </w:pPr>
            <w:r w:rsidRPr="008E036D">
              <w:rPr>
                <w:rFonts w:cstheme="minorHAnsi"/>
                <w:sz w:val="20"/>
                <w:szCs w:val="20"/>
              </w:rPr>
              <w:t>3</w:t>
            </w:r>
          </w:p>
        </w:tc>
        <w:tc>
          <w:tcPr>
            <w:tcW w:w="1985" w:type="dxa"/>
            <w:tcBorders>
              <w:bottom w:val="single" w:sz="4" w:space="0" w:color="auto"/>
            </w:tcBorders>
            <w:vAlign w:val="center"/>
          </w:tcPr>
          <w:p w14:paraId="4E45987A"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5EF76F83" w14:textId="77777777" w:rsidR="00000000" w:rsidRPr="008E036D" w:rsidRDefault="00000000" w:rsidP="00EE0E87">
            <w:pPr>
              <w:spacing w:after="0" w:line="240" w:lineRule="auto"/>
              <w:jc w:val="right"/>
              <w:rPr>
                <w:rFonts w:cstheme="minorHAnsi"/>
              </w:rPr>
            </w:pPr>
            <w:r w:rsidRPr="008E036D">
              <w:rPr>
                <w:rFonts w:cstheme="minorHAnsi"/>
                <w:sz w:val="20"/>
                <w:szCs w:val="20"/>
              </w:rPr>
              <w:t>2</w:t>
            </w:r>
          </w:p>
        </w:tc>
        <w:tc>
          <w:tcPr>
            <w:tcW w:w="3118" w:type="dxa"/>
            <w:tcBorders>
              <w:bottom w:val="single" w:sz="4" w:space="0" w:color="auto"/>
            </w:tcBorders>
            <w:vAlign w:val="center"/>
          </w:tcPr>
          <w:p w14:paraId="557DE3B5"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59957EE7" w14:textId="77777777" w:rsidR="00000000" w:rsidRPr="008E036D" w:rsidRDefault="00000000" w:rsidP="00EE0E87">
            <w:pPr>
              <w:spacing w:after="0" w:line="240" w:lineRule="auto"/>
              <w:jc w:val="right"/>
              <w:rPr>
                <w:rFonts w:cstheme="minorHAnsi"/>
              </w:rPr>
            </w:pPr>
            <w:r w:rsidRPr="008E036D">
              <w:rPr>
                <w:rFonts w:cstheme="minorHAnsi"/>
                <w:sz w:val="20"/>
                <w:szCs w:val="20"/>
              </w:rPr>
              <w:t>1</w:t>
            </w:r>
          </w:p>
        </w:tc>
      </w:tr>
      <w:tr w:rsidR="004E578B" w:rsidRPr="00972DAD" w14:paraId="0474B14C" w14:textId="77777777" w:rsidTr="001A6D53">
        <w:trPr>
          <w:trHeight w:val="284"/>
        </w:trPr>
        <w:tc>
          <w:tcPr>
            <w:tcW w:w="3397" w:type="dxa"/>
            <w:vAlign w:val="center"/>
          </w:tcPr>
          <w:p w14:paraId="403B2D56"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3947054C" w14:textId="77777777" w:rsidR="00000000" w:rsidRPr="008E036D" w:rsidRDefault="00000000" w:rsidP="00EE0E87">
            <w:pPr>
              <w:spacing w:after="0" w:line="240" w:lineRule="auto"/>
              <w:jc w:val="center"/>
              <w:rPr>
                <w:rFonts w:cstheme="minorHAnsi"/>
              </w:rPr>
            </w:pPr>
            <w:r w:rsidRPr="008E036D">
              <w:rPr>
                <w:rFonts w:cstheme="minorHAnsi"/>
                <w:sz w:val="20"/>
                <w:szCs w:val="20"/>
              </w:rPr>
              <w:t>3</w:t>
            </w:r>
            <w:r w:rsidRPr="008E036D">
              <w:rPr>
                <w:rFonts w:cstheme="minorHAnsi"/>
                <w:sz w:val="20"/>
                <w:szCs w:val="20"/>
              </w:rPr>
              <w:t>6</w:t>
            </w:r>
          </w:p>
        </w:tc>
        <w:tc>
          <w:tcPr>
            <w:tcW w:w="1985" w:type="dxa"/>
            <w:vAlign w:val="center"/>
          </w:tcPr>
          <w:p w14:paraId="74A31244"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2F00BCDB" w14:textId="77777777" w:rsidR="00000000" w:rsidRPr="008E036D" w:rsidRDefault="00000000" w:rsidP="00EE0E87">
            <w:pPr>
              <w:spacing w:after="0" w:line="240" w:lineRule="auto"/>
              <w:jc w:val="right"/>
              <w:rPr>
                <w:rFonts w:cstheme="minorHAnsi"/>
              </w:rPr>
            </w:pPr>
            <w:r w:rsidRPr="008E036D">
              <w:rPr>
                <w:rFonts w:cstheme="minorHAnsi"/>
                <w:sz w:val="20"/>
                <w:szCs w:val="20"/>
              </w:rPr>
              <w:t>2</w:t>
            </w:r>
            <w:r w:rsidRPr="008E036D">
              <w:rPr>
                <w:rFonts w:cstheme="minorHAnsi"/>
                <w:sz w:val="20"/>
                <w:szCs w:val="20"/>
              </w:rPr>
              <w:t>4</w:t>
            </w:r>
          </w:p>
        </w:tc>
        <w:tc>
          <w:tcPr>
            <w:tcW w:w="3118" w:type="dxa"/>
            <w:vAlign w:val="center"/>
          </w:tcPr>
          <w:p w14:paraId="4A59E4AA"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75A6360E" w14:textId="77777777" w:rsidR="00000000" w:rsidRPr="008E036D" w:rsidRDefault="00000000" w:rsidP="00EE0E87">
            <w:pPr>
              <w:spacing w:after="0" w:line="240" w:lineRule="auto"/>
              <w:jc w:val="right"/>
              <w:rPr>
                <w:rFonts w:cstheme="minorHAnsi"/>
              </w:rPr>
            </w:pPr>
            <w:r w:rsidRPr="008E036D">
              <w:rPr>
                <w:rFonts w:cstheme="minorHAnsi"/>
                <w:sz w:val="20"/>
                <w:szCs w:val="20"/>
              </w:rPr>
              <w:t>1</w:t>
            </w:r>
            <w:r w:rsidRPr="008E036D">
              <w:rPr>
                <w:rFonts w:cstheme="minorHAnsi"/>
                <w:sz w:val="20"/>
                <w:szCs w:val="20"/>
              </w:rPr>
              <w:t>2</w:t>
            </w:r>
          </w:p>
        </w:tc>
      </w:tr>
      <w:tr w:rsidR="00117B5A" w:rsidRPr="00972DAD" w14:paraId="0C11F9B8" w14:textId="77777777" w:rsidTr="005D3170">
        <w:trPr>
          <w:trHeight w:val="284"/>
        </w:trPr>
        <w:tc>
          <w:tcPr>
            <w:tcW w:w="9634" w:type="dxa"/>
            <w:gridSpan w:val="5"/>
            <w:vAlign w:val="center"/>
          </w:tcPr>
          <w:p w14:paraId="0BC26DFB"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3D01E098"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73814505" w14:textId="77777777" w:rsidTr="005D3170">
        <w:trPr>
          <w:trHeight w:val="284"/>
        </w:trPr>
        <w:tc>
          <w:tcPr>
            <w:tcW w:w="9634" w:type="dxa"/>
            <w:gridSpan w:val="5"/>
            <w:vAlign w:val="center"/>
          </w:tcPr>
          <w:p w14:paraId="28A5BACC"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78FBEB5D" w14:textId="77777777" w:rsidR="00000000" w:rsidRPr="008E036D" w:rsidRDefault="00000000" w:rsidP="00EE0E87">
            <w:pPr>
              <w:spacing w:after="0" w:line="240" w:lineRule="auto"/>
              <w:jc w:val="right"/>
              <w:rPr>
                <w:rFonts w:cstheme="minorHAnsi"/>
              </w:rPr>
            </w:pPr>
            <w:r w:rsidRPr="008E036D">
              <w:rPr>
                <w:rFonts w:cstheme="minorHAnsi"/>
                <w:sz w:val="20"/>
                <w:szCs w:val="20"/>
              </w:rPr>
              <w:t>2</w:t>
            </w:r>
            <w:r w:rsidRPr="008E036D">
              <w:rPr>
                <w:rFonts w:cstheme="minorHAnsi"/>
                <w:sz w:val="20"/>
                <w:szCs w:val="20"/>
              </w:rPr>
              <w:t>4</w:t>
            </w:r>
          </w:p>
        </w:tc>
      </w:tr>
      <w:tr w:rsidR="00117B5A" w:rsidRPr="00972DAD" w14:paraId="5D4DA371" w14:textId="77777777" w:rsidTr="005D3170">
        <w:trPr>
          <w:trHeight w:val="284"/>
        </w:trPr>
        <w:tc>
          <w:tcPr>
            <w:tcW w:w="9634" w:type="dxa"/>
            <w:gridSpan w:val="5"/>
            <w:vAlign w:val="center"/>
          </w:tcPr>
          <w:p w14:paraId="4141C2C8"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12DA5723" w14:textId="77777777" w:rsidR="00000000" w:rsidRPr="008E036D" w:rsidRDefault="00000000" w:rsidP="00EE0E87">
            <w:pPr>
              <w:spacing w:after="0" w:line="240" w:lineRule="auto"/>
              <w:jc w:val="right"/>
              <w:rPr>
                <w:rFonts w:cstheme="minorHAnsi"/>
              </w:rPr>
            </w:pPr>
            <w:r w:rsidRPr="008E036D">
              <w:rPr>
                <w:rFonts w:cstheme="minorHAnsi"/>
                <w:sz w:val="20"/>
                <w:szCs w:val="20"/>
              </w:rPr>
              <w:t>2</w:t>
            </w:r>
            <w:r w:rsidRPr="008E036D">
              <w:rPr>
                <w:rFonts w:cstheme="minorHAnsi"/>
                <w:sz w:val="20"/>
                <w:szCs w:val="20"/>
              </w:rPr>
              <w:t>4</w:t>
            </w:r>
          </w:p>
        </w:tc>
      </w:tr>
      <w:tr w:rsidR="00117B5A" w:rsidRPr="00972DAD" w14:paraId="3DEB51C7" w14:textId="77777777" w:rsidTr="005D3170">
        <w:trPr>
          <w:trHeight w:val="284"/>
        </w:trPr>
        <w:tc>
          <w:tcPr>
            <w:tcW w:w="9634" w:type="dxa"/>
            <w:gridSpan w:val="5"/>
            <w:vAlign w:val="center"/>
          </w:tcPr>
          <w:p w14:paraId="06841C11"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15356EE0" w14:textId="77777777" w:rsidR="00000000" w:rsidRPr="008E036D" w:rsidRDefault="00000000" w:rsidP="00EE0E87">
            <w:pPr>
              <w:spacing w:after="0" w:line="240" w:lineRule="auto"/>
              <w:jc w:val="right"/>
              <w:rPr>
                <w:rFonts w:cstheme="minorHAnsi"/>
              </w:rPr>
            </w:pPr>
            <w:r w:rsidRPr="008E036D">
              <w:rPr>
                <w:rFonts w:cstheme="minorHAnsi"/>
                <w:sz w:val="20"/>
                <w:szCs w:val="20"/>
              </w:rPr>
              <w:t>2</w:t>
            </w:r>
            <w:r w:rsidRPr="008E036D">
              <w:rPr>
                <w:rFonts w:cstheme="minorHAnsi"/>
                <w:sz w:val="20"/>
                <w:szCs w:val="20"/>
              </w:rPr>
              <w:t>4</w:t>
            </w:r>
          </w:p>
        </w:tc>
      </w:tr>
      <w:tr w:rsidR="00117B5A" w:rsidRPr="00972DAD" w14:paraId="7CA58FE7" w14:textId="77777777" w:rsidTr="005D3170">
        <w:trPr>
          <w:trHeight w:val="284"/>
        </w:trPr>
        <w:tc>
          <w:tcPr>
            <w:tcW w:w="9634" w:type="dxa"/>
            <w:gridSpan w:val="5"/>
            <w:vAlign w:val="center"/>
          </w:tcPr>
          <w:p w14:paraId="07AD274C"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18C94695" w14:textId="77777777" w:rsidR="00000000" w:rsidRPr="008E036D" w:rsidRDefault="00000000" w:rsidP="00EE0E87">
            <w:pPr>
              <w:spacing w:after="0" w:line="240" w:lineRule="auto"/>
              <w:jc w:val="right"/>
              <w:rPr>
                <w:rFonts w:cstheme="minorHAnsi"/>
              </w:rPr>
            </w:pPr>
            <w:r w:rsidRPr="008E036D">
              <w:rPr>
                <w:rFonts w:cstheme="minorHAnsi"/>
                <w:sz w:val="20"/>
                <w:szCs w:val="20"/>
              </w:rPr>
              <w:t>1</w:t>
            </w:r>
            <w:r w:rsidRPr="008E036D">
              <w:rPr>
                <w:rFonts w:cstheme="minorHAnsi"/>
                <w:sz w:val="20"/>
                <w:szCs w:val="20"/>
              </w:rPr>
              <w:t>2</w:t>
            </w:r>
          </w:p>
        </w:tc>
      </w:tr>
      <w:tr w:rsidR="00117B5A" w:rsidRPr="00972DAD" w14:paraId="41AF76BF" w14:textId="77777777" w:rsidTr="005D3170">
        <w:trPr>
          <w:trHeight w:val="284"/>
        </w:trPr>
        <w:tc>
          <w:tcPr>
            <w:tcW w:w="9634" w:type="dxa"/>
            <w:gridSpan w:val="5"/>
            <w:vAlign w:val="center"/>
          </w:tcPr>
          <w:p w14:paraId="768E7F96"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53C18245" w14:textId="77777777" w:rsidR="00000000" w:rsidRPr="008E036D" w:rsidRDefault="00000000" w:rsidP="00EE0E87">
            <w:pPr>
              <w:spacing w:after="0" w:line="240" w:lineRule="auto"/>
              <w:jc w:val="right"/>
              <w:rPr>
                <w:rFonts w:cstheme="minorHAnsi"/>
              </w:rPr>
            </w:pPr>
            <w:r w:rsidRPr="008E036D">
              <w:rPr>
                <w:rFonts w:cstheme="minorHAnsi"/>
                <w:sz w:val="20"/>
                <w:szCs w:val="20"/>
              </w:rPr>
              <w:t>5</w:t>
            </w:r>
          </w:p>
        </w:tc>
      </w:tr>
      <w:tr w:rsidR="00117B5A" w:rsidRPr="00972DAD" w14:paraId="3071122B" w14:textId="77777777" w:rsidTr="005D3170">
        <w:trPr>
          <w:trHeight w:val="284"/>
        </w:trPr>
        <w:tc>
          <w:tcPr>
            <w:tcW w:w="9634" w:type="dxa"/>
            <w:gridSpan w:val="5"/>
            <w:vAlign w:val="center"/>
          </w:tcPr>
          <w:p w14:paraId="036B4386"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450A1FC1" w14:textId="77777777" w:rsidR="00000000" w:rsidRPr="008E036D" w:rsidRDefault="00000000" w:rsidP="00EE0E87">
            <w:pPr>
              <w:spacing w:after="0" w:line="240" w:lineRule="auto"/>
              <w:rPr>
                <w:rFonts w:cstheme="minorHAnsi"/>
              </w:rPr>
            </w:pPr>
          </w:p>
        </w:tc>
      </w:tr>
      <w:tr w:rsidR="00117B5A" w:rsidRPr="00972DAD" w14:paraId="7E27914D" w14:textId="77777777" w:rsidTr="005D3170">
        <w:trPr>
          <w:trHeight w:val="284"/>
        </w:trPr>
        <w:tc>
          <w:tcPr>
            <w:tcW w:w="6516" w:type="dxa"/>
            <w:gridSpan w:val="4"/>
            <w:vAlign w:val="center"/>
          </w:tcPr>
          <w:p w14:paraId="7CD2DA67"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40119901" w14:textId="77777777" w:rsidR="00000000" w:rsidRPr="008E036D" w:rsidRDefault="00000000" w:rsidP="00EE0E87">
            <w:pPr>
              <w:spacing w:after="0" w:line="240" w:lineRule="auto"/>
              <w:jc w:val="right"/>
              <w:rPr>
                <w:rFonts w:cstheme="minorHAnsi"/>
              </w:rPr>
            </w:pPr>
            <w:r w:rsidRPr="008E036D">
              <w:rPr>
                <w:rFonts w:cstheme="minorHAnsi"/>
                <w:sz w:val="20"/>
                <w:szCs w:val="20"/>
              </w:rPr>
              <w:t>7</w:t>
            </w:r>
            <w:r w:rsidRPr="008E036D">
              <w:rPr>
                <w:rFonts w:cstheme="minorHAnsi"/>
                <w:sz w:val="20"/>
                <w:szCs w:val="20"/>
              </w:rPr>
              <w:t>2</w:t>
            </w:r>
          </w:p>
        </w:tc>
      </w:tr>
      <w:tr w:rsidR="004D2236" w:rsidRPr="00972DAD" w14:paraId="77DF7B12" w14:textId="77777777" w:rsidTr="005D3170">
        <w:trPr>
          <w:trHeight w:val="284"/>
        </w:trPr>
        <w:tc>
          <w:tcPr>
            <w:tcW w:w="6516" w:type="dxa"/>
            <w:gridSpan w:val="4"/>
            <w:vAlign w:val="center"/>
          </w:tcPr>
          <w:p w14:paraId="4EFE4449"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0B8E9464" w14:textId="77777777" w:rsidR="00000000" w:rsidRPr="008E036D" w:rsidRDefault="00000000" w:rsidP="00EE0E87">
            <w:pPr>
              <w:spacing w:after="0" w:line="240" w:lineRule="auto"/>
              <w:jc w:val="right"/>
              <w:rPr>
                <w:rFonts w:cstheme="minorHAnsi"/>
              </w:rPr>
            </w:pPr>
            <w:r w:rsidRPr="008E036D">
              <w:rPr>
                <w:rFonts w:cstheme="minorHAnsi"/>
                <w:sz w:val="20"/>
                <w:szCs w:val="20"/>
              </w:rPr>
              <w:t>1</w:t>
            </w:r>
            <w:r w:rsidRPr="008E036D">
              <w:rPr>
                <w:rFonts w:cstheme="minorHAnsi"/>
                <w:sz w:val="20"/>
                <w:szCs w:val="20"/>
              </w:rPr>
              <w:t>25</w:t>
            </w:r>
          </w:p>
        </w:tc>
      </w:tr>
      <w:tr w:rsidR="004D2236" w:rsidRPr="00972DAD" w14:paraId="1ABAB22A" w14:textId="77777777" w:rsidTr="005D3170">
        <w:trPr>
          <w:trHeight w:val="284"/>
        </w:trPr>
        <w:tc>
          <w:tcPr>
            <w:tcW w:w="6516" w:type="dxa"/>
            <w:gridSpan w:val="4"/>
            <w:vAlign w:val="center"/>
          </w:tcPr>
          <w:p w14:paraId="53814AF6"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2225AF16" w14:textId="77777777" w:rsidR="00000000" w:rsidRPr="008E036D" w:rsidRDefault="00000000" w:rsidP="00EE0E87">
            <w:pPr>
              <w:spacing w:after="0" w:line="240" w:lineRule="auto"/>
              <w:jc w:val="right"/>
              <w:rPr>
                <w:rFonts w:cstheme="minorHAnsi"/>
              </w:rPr>
            </w:pPr>
            <w:r w:rsidRPr="008E036D">
              <w:rPr>
                <w:rFonts w:cstheme="minorHAnsi"/>
                <w:sz w:val="20"/>
                <w:szCs w:val="20"/>
              </w:rPr>
              <w:t>5</w:t>
            </w:r>
          </w:p>
        </w:tc>
      </w:tr>
    </w:tbl>
    <w:p w14:paraId="0751C091"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66551CD7"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462E3B86" w14:textId="77777777" w:rsidTr="00820A4F">
        <w:trPr>
          <w:trHeight w:val="284"/>
        </w:trPr>
        <w:tc>
          <w:tcPr>
            <w:tcW w:w="1844" w:type="dxa"/>
            <w:vAlign w:val="center"/>
          </w:tcPr>
          <w:p w14:paraId="6A405DB6"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425807C0" w14:textId="77777777" w:rsidR="00000000" w:rsidRPr="008E036D" w:rsidRDefault="00000000" w:rsidP="00EE0E87">
            <w:pPr>
              <w:numPr>
                <w:ilvl w:val="0"/>
                <w:numId w:val="8"/>
              </w:numPr>
              <w:spacing w:after="0" w:line="240" w:lineRule="auto"/>
              <w:rPr>
                <w:rFonts w:cstheme="minorHAnsi"/>
              </w:rPr>
            </w:pPr>
            <w:r w:rsidRPr="008E036D">
              <w:rPr>
                <w:rFonts w:cstheme="minorHAnsi"/>
                <w:sz w:val="20"/>
                <w:szCs w:val="20"/>
              </w:rPr>
              <w:t>Not the case</w:t>
            </w:r>
          </w:p>
        </w:tc>
      </w:tr>
      <w:tr w:rsidR="00221B6D" w:rsidRPr="00972DAD" w14:paraId="5E2DD673" w14:textId="77777777" w:rsidTr="00820A4F">
        <w:trPr>
          <w:trHeight w:val="284"/>
        </w:trPr>
        <w:tc>
          <w:tcPr>
            <w:tcW w:w="1844" w:type="dxa"/>
            <w:vAlign w:val="center"/>
          </w:tcPr>
          <w:p w14:paraId="76AE574C"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1957F3BA" w14:textId="77777777" w:rsidR="00000000" w:rsidRPr="008E036D" w:rsidRDefault="00000000" w:rsidP="00EE0E87">
            <w:pPr>
              <w:numPr>
                <w:ilvl w:val="0"/>
                <w:numId w:val="8"/>
              </w:numPr>
              <w:spacing w:after="0" w:line="240" w:lineRule="auto"/>
              <w:rPr>
                <w:rFonts w:cstheme="minorHAnsi"/>
              </w:rPr>
            </w:pPr>
            <w:r w:rsidRPr="008E036D">
              <w:rPr>
                <w:rFonts w:cstheme="minorHAnsi"/>
                <w:sz w:val="20"/>
                <w:szCs w:val="20"/>
              </w:rPr>
              <w:t>Not the case</w:t>
            </w:r>
          </w:p>
        </w:tc>
      </w:tr>
    </w:tbl>
    <w:p w14:paraId="1F88D63E"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5F8FC18B"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3E4695B7" w14:textId="77777777" w:rsidTr="00050CF7">
        <w:trPr>
          <w:trHeight w:val="284"/>
        </w:trPr>
        <w:tc>
          <w:tcPr>
            <w:tcW w:w="4395" w:type="dxa"/>
            <w:vAlign w:val="center"/>
          </w:tcPr>
          <w:p w14:paraId="2900D41A"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1FD5C4C9" w14:textId="77777777" w:rsidR="00000000" w:rsidRPr="008E036D" w:rsidRDefault="00000000" w:rsidP="00EE0E87">
            <w:pPr>
              <w:numPr>
                <w:ilvl w:val="0"/>
                <w:numId w:val="16"/>
              </w:numPr>
              <w:spacing w:after="0" w:line="240" w:lineRule="auto"/>
              <w:ind w:left="346"/>
              <w:jc w:val="both"/>
              <w:rPr>
                <w:rFonts w:cstheme="minorHAnsi"/>
              </w:rPr>
            </w:pPr>
            <w:r w:rsidRPr="008E036D">
              <w:rPr>
                <w:rFonts w:cstheme="minorHAnsi"/>
                <w:sz w:val="20"/>
                <w:szCs w:val="20"/>
              </w:rPr>
              <w:t>According to the UBB and FSPAC regulations</w:t>
            </w:r>
            <w:r w:rsidRPr="008E036D">
              <w:rPr>
                <w:rFonts w:cstheme="minorHAnsi"/>
                <w:sz w:val="20"/>
                <w:szCs w:val="20"/>
              </w:rPr>
              <w:t>, attendance at the course lectures is not mandatory to pass</w:t>
            </w:r>
            <w:r w:rsidRPr="008E036D">
              <w:rPr>
                <w:rFonts w:cstheme="minorHAnsi"/>
                <w:sz w:val="20"/>
                <w:szCs w:val="20"/>
              </w:rPr>
              <w:t xml:space="preserve"> the course.</w:t>
            </w:r>
          </w:p>
          <w:p w14:paraId="66EB169A" w14:textId="77777777" w:rsidR="00000000" w:rsidRPr="008E036D" w:rsidRDefault="00000000" w:rsidP="00EE0E87">
            <w:pPr>
              <w:numPr>
                <w:ilvl w:val="0"/>
                <w:numId w:val="16"/>
              </w:numPr>
              <w:spacing w:after="0" w:line="240" w:lineRule="auto"/>
              <w:ind w:left="346"/>
              <w:jc w:val="both"/>
              <w:rPr>
                <w:rFonts w:cstheme="minorHAnsi"/>
              </w:rPr>
            </w:pPr>
            <w:r w:rsidRPr="008E036D">
              <w:rPr>
                <w:rFonts w:cstheme="minorHAnsi"/>
                <w:sz w:val="20"/>
                <w:szCs w:val="20"/>
              </w:rPr>
              <w:t>The subject taught by the teacher in the course is an integral part of the exam subject, complementary to the bibliography sent to the students and provided in the syllabus.</w:t>
            </w:r>
          </w:p>
          <w:p w14:paraId="63CF0C00" w14:textId="77777777" w:rsidR="00000000" w:rsidRPr="008E036D" w:rsidRDefault="00000000" w:rsidP="00EE0E87">
            <w:pPr>
              <w:numPr>
                <w:ilvl w:val="0"/>
                <w:numId w:val="16"/>
              </w:numPr>
              <w:spacing w:after="0" w:line="240" w:lineRule="auto"/>
              <w:ind w:left="346"/>
              <w:jc w:val="both"/>
              <w:rPr>
                <w:rFonts w:cstheme="minorHAnsi"/>
              </w:rPr>
            </w:pPr>
            <w:r w:rsidRPr="008E036D">
              <w:rPr>
                <w:rFonts w:cstheme="minorHAnsi"/>
                <w:sz w:val="20"/>
                <w:szCs w:val="20"/>
              </w:rPr>
              <w:lastRenderedPageBreak/>
              <w:t xml:space="preserve">The course is </w:t>
            </w:r>
            <w:r w:rsidRPr="008E036D">
              <w:rPr>
                <w:rFonts w:cstheme="minorHAnsi"/>
                <w:sz w:val="20"/>
                <w:szCs w:val="20"/>
              </w:rPr>
              <w:t>organised</w:t>
            </w:r>
            <w:r w:rsidRPr="008E036D">
              <w:rPr>
                <w:rFonts w:cstheme="minorHAnsi"/>
                <w:sz w:val="20"/>
                <w:szCs w:val="20"/>
              </w:rPr>
              <w:t xml:space="preserve"> according to the schedule approved by the department and communicated to students at the beginning of the semester. </w:t>
            </w:r>
          </w:p>
          <w:p w14:paraId="190C5815" w14:textId="77777777" w:rsidR="00000000" w:rsidRPr="008E036D" w:rsidRDefault="00000000" w:rsidP="00EE0E87">
            <w:pPr>
              <w:numPr>
                <w:ilvl w:val="0"/>
                <w:numId w:val="16"/>
              </w:numPr>
              <w:spacing w:after="0" w:line="240" w:lineRule="auto"/>
              <w:ind w:left="346"/>
              <w:jc w:val="both"/>
              <w:rPr>
                <w:rFonts w:cstheme="minorHAnsi"/>
              </w:rPr>
            </w:pPr>
            <w:r w:rsidRPr="008E036D">
              <w:rPr>
                <w:rFonts w:cstheme="minorHAnsi"/>
                <w:sz w:val="20"/>
                <w:szCs w:val="20"/>
              </w:rPr>
              <w:t xml:space="preserve">Course recoveries are only held </w:t>
            </w:r>
            <w:r w:rsidRPr="008E036D">
              <w:rPr>
                <w:rFonts w:cstheme="minorHAnsi"/>
                <w:sz w:val="20"/>
                <w:szCs w:val="20"/>
              </w:rPr>
              <w:t>when they overlap with official bank holidays or when the course holder cannot take a course for objective reasons. The recovery schedule is established in agreement with the students</w:t>
            </w:r>
            <w:r w:rsidRPr="008E036D">
              <w:rPr>
                <w:rFonts w:cstheme="minorHAnsi"/>
                <w:sz w:val="20"/>
                <w:szCs w:val="20"/>
              </w:rPr>
              <w:t xml:space="preserve"> through their representatives.</w:t>
            </w:r>
          </w:p>
          <w:p w14:paraId="099BEFAE" w14:textId="77777777" w:rsidR="00000000" w:rsidRPr="008E036D" w:rsidRDefault="00000000" w:rsidP="00EE0E87">
            <w:pPr>
              <w:spacing w:after="0" w:line="240" w:lineRule="auto"/>
              <w:ind w:left="-14"/>
              <w:jc w:val="both"/>
              <w:rPr>
                <w:rFonts w:cstheme="minorHAnsi"/>
              </w:rPr>
            </w:pPr>
          </w:p>
        </w:tc>
      </w:tr>
      <w:tr w:rsidR="00050CF7" w:rsidRPr="00972DAD" w14:paraId="3CE94BEB" w14:textId="77777777" w:rsidTr="00050CF7">
        <w:trPr>
          <w:trHeight w:val="284"/>
        </w:trPr>
        <w:tc>
          <w:tcPr>
            <w:tcW w:w="4395" w:type="dxa"/>
            <w:vAlign w:val="center"/>
          </w:tcPr>
          <w:p w14:paraId="34EA6D77"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20763BDC" w14:textId="77777777" w:rsidR="00000000" w:rsidRPr="008E036D" w:rsidRDefault="00000000" w:rsidP="00EE0E87">
            <w:pPr>
              <w:numPr>
                <w:ilvl w:val="0"/>
                <w:numId w:val="16"/>
              </w:numPr>
              <w:spacing w:after="0" w:line="240" w:lineRule="auto"/>
              <w:ind w:left="346"/>
              <w:jc w:val="both"/>
              <w:rPr>
                <w:rFonts w:cstheme="minorHAnsi"/>
              </w:rPr>
            </w:pPr>
            <w:r w:rsidRPr="008E036D">
              <w:rPr>
                <w:rFonts w:cstheme="minorHAnsi"/>
                <w:sz w:val="20"/>
                <w:szCs w:val="20"/>
              </w:rPr>
              <w:t>S</w:t>
            </w:r>
            <w:r w:rsidRPr="008E036D">
              <w:rPr>
                <w:rFonts w:cstheme="minorHAnsi"/>
                <w:sz w:val="20"/>
                <w:szCs w:val="20"/>
              </w:rPr>
              <w:t xml:space="preserve">eminar attendance is mandatory for </w:t>
            </w:r>
            <w:r w:rsidRPr="008E036D">
              <w:rPr>
                <w:rFonts w:cstheme="minorHAnsi"/>
                <w:sz w:val="20"/>
                <w:szCs w:val="20"/>
              </w:rPr>
              <w:t xml:space="preserve">at least </w:t>
            </w:r>
            <w:r w:rsidRPr="008E036D">
              <w:rPr>
                <w:rFonts w:cstheme="minorHAnsi"/>
                <w:sz w:val="20"/>
                <w:szCs w:val="20"/>
              </w:rPr>
              <w:t>75% of all seminar</w:t>
            </w:r>
            <w:r w:rsidRPr="008E036D">
              <w:rPr>
                <w:rFonts w:cstheme="minorHAnsi"/>
                <w:sz w:val="20"/>
                <w:szCs w:val="20"/>
              </w:rPr>
              <w:t xml:space="preserve"> activities </w:t>
            </w:r>
            <w:r w:rsidRPr="008E036D">
              <w:rPr>
                <w:rFonts w:cstheme="minorHAnsi"/>
                <w:sz w:val="20"/>
                <w:szCs w:val="20"/>
              </w:rPr>
              <w:t xml:space="preserve">during the semester. Fulfilling the attendance criterion is a mandatory condition for entering the </w:t>
            </w:r>
            <w:r w:rsidRPr="008E036D">
              <w:rPr>
                <w:rFonts w:cstheme="minorHAnsi"/>
                <w:sz w:val="20"/>
                <w:szCs w:val="20"/>
              </w:rPr>
              <w:t xml:space="preserve">final </w:t>
            </w:r>
            <w:r w:rsidRPr="008E036D">
              <w:rPr>
                <w:rFonts w:cstheme="minorHAnsi"/>
                <w:sz w:val="20"/>
                <w:szCs w:val="20"/>
              </w:rPr>
              <w:t>exam.</w:t>
            </w:r>
          </w:p>
          <w:p w14:paraId="72E3214A" w14:textId="77777777" w:rsidR="00000000" w:rsidRPr="008E036D" w:rsidRDefault="00000000" w:rsidP="00EE0E87">
            <w:pPr>
              <w:numPr>
                <w:ilvl w:val="0"/>
                <w:numId w:val="16"/>
              </w:numPr>
              <w:spacing w:after="0" w:line="240" w:lineRule="auto"/>
              <w:ind w:left="346"/>
              <w:jc w:val="both"/>
              <w:rPr>
                <w:rFonts w:cstheme="minorHAnsi"/>
              </w:rPr>
            </w:pPr>
            <w:r w:rsidRPr="008E036D">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14:paraId="0E8100D5" w14:textId="77777777" w:rsidR="00000000" w:rsidRPr="008E036D" w:rsidRDefault="00000000" w:rsidP="00EE0E87">
            <w:pPr>
              <w:numPr>
                <w:ilvl w:val="0"/>
                <w:numId w:val="16"/>
              </w:numPr>
              <w:spacing w:after="0" w:line="240" w:lineRule="auto"/>
              <w:ind w:left="346"/>
              <w:jc w:val="both"/>
              <w:rPr>
                <w:rFonts w:cstheme="minorHAnsi"/>
              </w:rPr>
            </w:pPr>
            <w:r w:rsidRPr="008E036D">
              <w:rPr>
                <w:rFonts w:cstheme="minorHAnsi"/>
                <w:sz w:val="20"/>
                <w:szCs w:val="20"/>
              </w:rPr>
              <w:t xml:space="preserve">The seminar is </w:t>
            </w:r>
            <w:r w:rsidRPr="008E036D">
              <w:rPr>
                <w:rFonts w:cstheme="minorHAnsi"/>
                <w:sz w:val="20"/>
                <w:szCs w:val="20"/>
              </w:rPr>
              <w:t>organised</w:t>
            </w:r>
            <w:r w:rsidRPr="008E036D">
              <w:rPr>
                <w:rFonts w:cstheme="minorHAnsi"/>
                <w:sz w:val="20"/>
                <w:szCs w:val="20"/>
              </w:rPr>
              <w:t xml:space="preserve"> according to the schedule approved by the department and sent to students at the beginning of the semester. </w:t>
            </w:r>
          </w:p>
          <w:p w14:paraId="0609A2E8" w14:textId="77777777" w:rsidR="00000000" w:rsidRPr="008E036D" w:rsidRDefault="00000000" w:rsidP="00EE0E87">
            <w:pPr>
              <w:numPr>
                <w:ilvl w:val="0"/>
                <w:numId w:val="16"/>
              </w:numPr>
              <w:spacing w:after="0" w:line="240" w:lineRule="auto"/>
              <w:ind w:left="346"/>
              <w:jc w:val="both"/>
              <w:rPr>
                <w:rFonts w:cstheme="minorHAnsi"/>
              </w:rPr>
            </w:pPr>
            <w:r w:rsidRPr="008E036D">
              <w:rPr>
                <w:rFonts w:cstheme="minorHAnsi"/>
                <w:sz w:val="20"/>
                <w:szCs w:val="20"/>
              </w:rPr>
              <w:t xml:space="preserve">Seminar recoveries are only held </w:t>
            </w:r>
            <w:r w:rsidRPr="008E036D">
              <w:rPr>
                <w:rFonts w:cstheme="minorHAnsi"/>
                <w:sz w:val="20"/>
                <w:szCs w:val="20"/>
              </w:rPr>
              <w:t>when they overlap with official bank holidays or when the course holder cannot take a course for objective reasons. The recovery schedule is established in agreement with the students</w:t>
            </w:r>
            <w:r w:rsidRPr="008E036D">
              <w:rPr>
                <w:rFonts w:cstheme="minorHAnsi"/>
                <w:sz w:val="20"/>
                <w:szCs w:val="20"/>
              </w:rPr>
              <w:t xml:space="preserve"> through their representatives.</w:t>
            </w:r>
          </w:p>
          <w:p w14:paraId="3ABB423F" w14:textId="77777777" w:rsidR="00000000" w:rsidRPr="008E036D" w:rsidRDefault="00000000" w:rsidP="00EE0E87">
            <w:pPr>
              <w:spacing w:after="0" w:line="240" w:lineRule="auto"/>
              <w:jc w:val="both"/>
              <w:rPr>
                <w:rFonts w:cstheme="minorHAnsi"/>
              </w:rPr>
            </w:pPr>
            <w:r w:rsidRPr="008E036D">
              <w:rPr>
                <w:rFonts w:cstheme="minorHAnsi"/>
                <w:sz w:val="20"/>
                <w:szCs w:val="20"/>
              </w:rPr>
              <w:t xml:space="preserve">Note: </w:t>
            </w:r>
            <w:r w:rsidRPr="008E036D">
              <w:rPr>
                <w:rFonts w:cstheme="minorHAnsi"/>
                <w:sz w:val="20"/>
                <w:szCs w:val="20"/>
              </w:rPr>
              <w:t>The final exam includes a seminar component. If the student's work</w:t>
            </w:r>
            <w:r w:rsidRPr="008E036D">
              <w:rPr>
                <w:rFonts w:cstheme="minorHAnsi"/>
                <w:sz w:val="20"/>
                <w:szCs w:val="20"/>
              </w:rPr>
              <w:t xml:space="preserve"> does not meet the </w:t>
            </w:r>
            <w:r w:rsidRPr="008E036D">
              <w:rPr>
                <w:rFonts w:cstheme="minorHAnsi"/>
                <w:sz w:val="20"/>
                <w:szCs w:val="20"/>
              </w:rPr>
              <w:t>seminar requirements to promote this discipline,</w:t>
            </w:r>
            <w:r w:rsidRPr="008E036D">
              <w:rPr>
                <w:rFonts w:cstheme="minorHAnsi"/>
                <w:sz w:val="20"/>
                <w:szCs w:val="20"/>
              </w:rPr>
              <w:t xml:space="preserve"> </w:t>
            </w:r>
            <w:r w:rsidRPr="008E036D">
              <w:rPr>
                <w:rFonts w:cstheme="minorHAnsi"/>
                <w:sz w:val="20"/>
                <w:szCs w:val="20"/>
              </w:rPr>
              <w:t>the student will not be admitted to the</w:t>
            </w:r>
            <w:r w:rsidRPr="008E036D">
              <w:rPr>
                <w:rFonts w:cstheme="minorHAnsi"/>
                <w:sz w:val="20"/>
                <w:szCs w:val="20"/>
              </w:rPr>
              <w:t xml:space="preserve"> final</w:t>
            </w:r>
            <w:r w:rsidRPr="008E036D">
              <w:rPr>
                <w:rFonts w:cstheme="minorHAnsi"/>
                <w:sz w:val="20"/>
                <w:szCs w:val="20"/>
              </w:rPr>
              <w:t xml:space="preserve"> exam</w:t>
            </w:r>
            <w:r w:rsidRPr="008E036D">
              <w:rPr>
                <w:rFonts w:cstheme="minorHAnsi"/>
                <w:sz w:val="20"/>
                <w:szCs w:val="20"/>
              </w:rPr>
              <w:t>.</w:t>
            </w:r>
          </w:p>
        </w:tc>
      </w:tr>
    </w:tbl>
    <w:p w14:paraId="5D1258D3"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5E58F6B2" w14:textId="77777777" w:rsidTr="0055138F">
        <w:trPr>
          <w:cantSplit/>
          <w:trHeight w:val="397"/>
        </w:trPr>
        <w:tc>
          <w:tcPr>
            <w:tcW w:w="10491" w:type="dxa"/>
            <w:gridSpan w:val="2"/>
            <w:vAlign w:val="center"/>
          </w:tcPr>
          <w:p w14:paraId="23E68A6B"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3ADBED3D" w14:textId="77777777" w:rsidTr="0037232C">
        <w:trPr>
          <w:cantSplit/>
          <w:trHeight w:val="397"/>
        </w:trPr>
        <w:tc>
          <w:tcPr>
            <w:tcW w:w="1419" w:type="dxa"/>
            <w:vAlign w:val="center"/>
          </w:tcPr>
          <w:p w14:paraId="15FD03FA"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268E4438"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48BE0123" w14:textId="77777777" w:rsidTr="0037232C">
        <w:trPr>
          <w:cantSplit/>
          <w:trHeight w:val="397"/>
        </w:trPr>
        <w:tc>
          <w:tcPr>
            <w:tcW w:w="1419" w:type="dxa"/>
            <w:vAlign w:val="center"/>
          </w:tcPr>
          <w:p w14:paraId="22290F49"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1C3C19FF"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2B2554A5" w14:textId="77777777" w:rsidTr="0037232C">
        <w:trPr>
          <w:cantSplit/>
          <w:trHeight w:val="397"/>
        </w:trPr>
        <w:tc>
          <w:tcPr>
            <w:tcW w:w="1419" w:type="dxa"/>
            <w:vAlign w:val="center"/>
          </w:tcPr>
          <w:p w14:paraId="3C3E69B7"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416A6EB1"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46E9C63F" w14:textId="77777777" w:rsidTr="0037232C">
        <w:trPr>
          <w:cantSplit/>
          <w:trHeight w:val="397"/>
        </w:trPr>
        <w:tc>
          <w:tcPr>
            <w:tcW w:w="1419" w:type="dxa"/>
            <w:vAlign w:val="center"/>
          </w:tcPr>
          <w:p w14:paraId="522CF756"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22197D54"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0B8AAEAD" w14:textId="77777777" w:rsidTr="0037232C">
        <w:trPr>
          <w:cantSplit/>
          <w:trHeight w:val="397"/>
        </w:trPr>
        <w:tc>
          <w:tcPr>
            <w:tcW w:w="1419" w:type="dxa"/>
            <w:vAlign w:val="center"/>
          </w:tcPr>
          <w:p w14:paraId="11674AB6"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42A9EA34"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6FDECABE" w14:textId="77777777" w:rsidTr="0037232C">
        <w:trPr>
          <w:cantSplit/>
          <w:trHeight w:val="397"/>
        </w:trPr>
        <w:tc>
          <w:tcPr>
            <w:tcW w:w="1419" w:type="dxa"/>
            <w:vAlign w:val="center"/>
          </w:tcPr>
          <w:p w14:paraId="625BD7E5"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78765D1B"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0D96B0C1" w14:textId="77777777" w:rsidTr="0037232C">
        <w:trPr>
          <w:cantSplit/>
          <w:trHeight w:val="397"/>
        </w:trPr>
        <w:tc>
          <w:tcPr>
            <w:tcW w:w="1419" w:type="dxa"/>
            <w:vAlign w:val="center"/>
          </w:tcPr>
          <w:p w14:paraId="5114D77B"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279B5849"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62B1DECD" w14:textId="77777777" w:rsidTr="0055138F">
        <w:trPr>
          <w:cantSplit/>
          <w:trHeight w:val="397"/>
        </w:trPr>
        <w:tc>
          <w:tcPr>
            <w:tcW w:w="10491" w:type="dxa"/>
            <w:gridSpan w:val="2"/>
            <w:vAlign w:val="center"/>
          </w:tcPr>
          <w:p w14:paraId="6907937C"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2952092A" w14:textId="77777777" w:rsidTr="0037232C">
        <w:trPr>
          <w:cantSplit/>
          <w:trHeight w:val="397"/>
        </w:trPr>
        <w:tc>
          <w:tcPr>
            <w:tcW w:w="1419" w:type="dxa"/>
            <w:vAlign w:val="center"/>
          </w:tcPr>
          <w:p w14:paraId="5CBD47BF"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64764C17"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068DADCC" w14:textId="77777777" w:rsidTr="0037232C">
        <w:trPr>
          <w:cantSplit/>
          <w:trHeight w:val="397"/>
        </w:trPr>
        <w:tc>
          <w:tcPr>
            <w:tcW w:w="1419" w:type="dxa"/>
            <w:vAlign w:val="center"/>
          </w:tcPr>
          <w:p w14:paraId="4B365EEF"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7FE4C605"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471F9917" w14:textId="77777777" w:rsidTr="0037232C">
        <w:trPr>
          <w:cantSplit/>
          <w:trHeight w:val="397"/>
        </w:trPr>
        <w:tc>
          <w:tcPr>
            <w:tcW w:w="1419" w:type="dxa"/>
            <w:vAlign w:val="center"/>
          </w:tcPr>
          <w:p w14:paraId="045127E1"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3873A221"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6067D645" w14:textId="77777777" w:rsidTr="0037232C">
        <w:trPr>
          <w:cantSplit/>
          <w:trHeight w:val="397"/>
        </w:trPr>
        <w:tc>
          <w:tcPr>
            <w:tcW w:w="1419" w:type="dxa"/>
            <w:vAlign w:val="center"/>
          </w:tcPr>
          <w:p w14:paraId="2240DDAD"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14:paraId="2D84F2EA"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3002DFB1" w14:textId="77777777" w:rsidTr="0037232C">
        <w:trPr>
          <w:cantSplit/>
          <w:trHeight w:val="397"/>
        </w:trPr>
        <w:tc>
          <w:tcPr>
            <w:tcW w:w="1419" w:type="dxa"/>
            <w:vAlign w:val="center"/>
          </w:tcPr>
          <w:p w14:paraId="0A93F80D"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699FBC2C"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162E6473" w14:textId="77777777" w:rsidTr="0037232C">
        <w:trPr>
          <w:cantSplit/>
          <w:trHeight w:val="397"/>
        </w:trPr>
        <w:tc>
          <w:tcPr>
            <w:tcW w:w="1419" w:type="dxa"/>
            <w:vAlign w:val="center"/>
          </w:tcPr>
          <w:p w14:paraId="794C5EDE"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01E05520"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3054102B" w14:textId="77777777" w:rsidTr="0037232C">
        <w:trPr>
          <w:cantSplit/>
          <w:trHeight w:val="397"/>
        </w:trPr>
        <w:tc>
          <w:tcPr>
            <w:tcW w:w="1419" w:type="dxa"/>
            <w:vAlign w:val="center"/>
          </w:tcPr>
          <w:p w14:paraId="0CD04F9F"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2E8B47F3"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7F875A05" w14:textId="77777777" w:rsidTr="0037232C">
        <w:trPr>
          <w:cantSplit/>
          <w:trHeight w:val="397"/>
        </w:trPr>
        <w:tc>
          <w:tcPr>
            <w:tcW w:w="1419" w:type="dxa"/>
            <w:vAlign w:val="center"/>
          </w:tcPr>
          <w:p w14:paraId="23FD01C3"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3C395BE6"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06957F5C" w14:textId="77777777" w:rsidR="00091CED" w:rsidRDefault="00091CED" w:rsidP="0037232C">
      <w:pPr>
        <w:spacing w:after="0"/>
        <w:ind w:hanging="425"/>
        <w:rPr>
          <w:rFonts w:ascii="Cambria" w:hAnsi="Cambria"/>
          <w:b/>
          <w:sz w:val="20"/>
          <w:szCs w:val="20"/>
        </w:rPr>
      </w:pPr>
    </w:p>
    <w:p w14:paraId="3043A48B"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27A18BAF" w14:textId="77777777" w:rsidTr="0073566C">
        <w:trPr>
          <w:cantSplit/>
          <w:trHeight w:val="397"/>
        </w:trPr>
        <w:tc>
          <w:tcPr>
            <w:tcW w:w="10491" w:type="dxa"/>
            <w:gridSpan w:val="3"/>
            <w:vAlign w:val="center"/>
          </w:tcPr>
          <w:p w14:paraId="2E0C4436"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7DDFEF26" w14:textId="77777777" w:rsidTr="0078208B">
        <w:trPr>
          <w:cantSplit/>
          <w:trHeight w:val="397"/>
        </w:trPr>
        <w:tc>
          <w:tcPr>
            <w:tcW w:w="1419" w:type="dxa"/>
            <w:vAlign w:val="center"/>
          </w:tcPr>
          <w:p w14:paraId="7B7877A9"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57938C59"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527C1935"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68D36D59" w14:textId="77777777" w:rsidTr="0078208B">
        <w:trPr>
          <w:cantSplit/>
          <w:trHeight w:val="397"/>
        </w:trPr>
        <w:tc>
          <w:tcPr>
            <w:tcW w:w="1419" w:type="dxa"/>
            <w:vAlign w:val="center"/>
          </w:tcPr>
          <w:p w14:paraId="12E69066"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323E5BD1"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1D5534B3"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69482109" w14:textId="77777777" w:rsidTr="0078208B">
        <w:trPr>
          <w:cantSplit/>
          <w:trHeight w:val="397"/>
        </w:trPr>
        <w:tc>
          <w:tcPr>
            <w:tcW w:w="1419" w:type="dxa"/>
            <w:vAlign w:val="center"/>
          </w:tcPr>
          <w:p w14:paraId="1216E3A0"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13272102"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5F29FFD3"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0080B3E0" w14:textId="77777777" w:rsidTr="0078208B">
        <w:trPr>
          <w:cantSplit/>
          <w:trHeight w:val="397"/>
        </w:trPr>
        <w:tc>
          <w:tcPr>
            <w:tcW w:w="1419" w:type="dxa"/>
            <w:vAlign w:val="center"/>
          </w:tcPr>
          <w:p w14:paraId="0F2838E1"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151AC4B7"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3EF96411"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58F697EB" w14:textId="77777777" w:rsidTr="0078208B">
        <w:trPr>
          <w:cantSplit/>
          <w:trHeight w:val="397"/>
        </w:trPr>
        <w:tc>
          <w:tcPr>
            <w:tcW w:w="1419" w:type="dxa"/>
            <w:vAlign w:val="center"/>
          </w:tcPr>
          <w:p w14:paraId="648147BA"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4EA9A2FB"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5CDE5884"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7AB38233" w14:textId="77777777" w:rsidTr="0078208B">
        <w:trPr>
          <w:cantSplit/>
          <w:trHeight w:val="397"/>
        </w:trPr>
        <w:tc>
          <w:tcPr>
            <w:tcW w:w="1419" w:type="dxa"/>
            <w:vAlign w:val="center"/>
          </w:tcPr>
          <w:p w14:paraId="072EF5A8"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2F92D4FF"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2F01FF7F"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0CABBE0A" w14:textId="77777777" w:rsidTr="0078208B">
        <w:trPr>
          <w:cantSplit/>
          <w:trHeight w:val="397"/>
        </w:trPr>
        <w:tc>
          <w:tcPr>
            <w:tcW w:w="1419" w:type="dxa"/>
            <w:vAlign w:val="center"/>
          </w:tcPr>
          <w:p w14:paraId="5396E147"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5E4D3948"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539B6CDA"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33A64D1E" w14:textId="77777777" w:rsidR="00996E5F" w:rsidRDefault="00996E5F" w:rsidP="00996E5F">
      <w:pPr>
        <w:spacing w:after="0"/>
        <w:rPr>
          <w:rFonts w:ascii="Cambria" w:hAnsi="Cambria"/>
          <w:b/>
          <w:sz w:val="20"/>
          <w:szCs w:val="20"/>
        </w:rPr>
      </w:pPr>
    </w:p>
    <w:p w14:paraId="0DE93651"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07B5DF4A" w14:textId="77777777" w:rsidTr="002C22AA">
        <w:trPr>
          <w:cantSplit/>
          <w:trHeight w:val="402"/>
        </w:trPr>
        <w:tc>
          <w:tcPr>
            <w:tcW w:w="10491" w:type="dxa"/>
            <w:vAlign w:val="center"/>
          </w:tcPr>
          <w:p w14:paraId="46D580AA"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2FDF2BF3" w14:textId="77777777" w:rsidTr="002C22AA">
        <w:trPr>
          <w:cantSplit/>
          <w:trHeight w:val="402"/>
        </w:trPr>
        <w:tc>
          <w:tcPr>
            <w:tcW w:w="10491" w:type="dxa"/>
            <w:vAlign w:val="center"/>
          </w:tcPr>
          <w:p w14:paraId="6743D214"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358BDB2C" w14:textId="77777777" w:rsidTr="002C22AA">
        <w:trPr>
          <w:cantSplit/>
          <w:trHeight w:val="402"/>
        </w:trPr>
        <w:tc>
          <w:tcPr>
            <w:tcW w:w="10491" w:type="dxa"/>
            <w:vAlign w:val="center"/>
          </w:tcPr>
          <w:p w14:paraId="1FA5C539"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03A31A49" w14:textId="77777777" w:rsidTr="002C22AA">
        <w:trPr>
          <w:cantSplit/>
          <w:trHeight w:val="402"/>
        </w:trPr>
        <w:tc>
          <w:tcPr>
            <w:tcW w:w="10491" w:type="dxa"/>
            <w:vAlign w:val="center"/>
          </w:tcPr>
          <w:p w14:paraId="5163FB0E"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21BAF81C" w14:textId="77777777" w:rsidTr="002C22AA">
        <w:trPr>
          <w:cantSplit/>
          <w:trHeight w:val="402"/>
        </w:trPr>
        <w:tc>
          <w:tcPr>
            <w:tcW w:w="10491" w:type="dxa"/>
            <w:vAlign w:val="center"/>
          </w:tcPr>
          <w:p w14:paraId="23341FF6"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03338C8D" w14:textId="77777777" w:rsidTr="002C22AA">
        <w:trPr>
          <w:cantSplit/>
          <w:trHeight w:val="402"/>
        </w:trPr>
        <w:tc>
          <w:tcPr>
            <w:tcW w:w="10491" w:type="dxa"/>
            <w:vAlign w:val="center"/>
          </w:tcPr>
          <w:p w14:paraId="1CCD188D"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042E58A4" w14:textId="77777777" w:rsidTr="002C22AA">
        <w:trPr>
          <w:cantSplit/>
          <w:trHeight w:val="402"/>
        </w:trPr>
        <w:tc>
          <w:tcPr>
            <w:tcW w:w="10491" w:type="dxa"/>
            <w:vAlign w:val="center"/>
          </w:tcPr>
          <w:p w14:paraId="6BA3C0F5"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2916FB65" w14:textId="77777777" w:rsidTr="00A5032D">
        <w:trPr>
          <w:cantSplit/>
          <w:trHeight w:val="402"/>
        </w:trPr>
        <w:tc>
          <w:tcPr>
            <w:tcW w:w="10491" w:type="dxa"/>
            <w:vAlign w:val="center"/>
          </w:tcPr>
          <w:p w14:paraId="010B49B3"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1986EF2C" w14:textId="77777777" w:rsidTr="00A5032D">
        <w:trPr>
          <w:cantSplit/>
          <w:trHeight w:val="402"/>
        </w:trPr>
        <w:tc>
          <w:tcPr>
            <w:tcW w:w="10491" w:type="dxa"/>
            <w:vAlign w:val="center"/>
          </w:tcPr>
          <w:p w14:paraId="71B72157"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488AA7D5" w14:textId="77777777" w:rsidTr="00A5032D">
        <w:trPr>
          <w:cantSplit/>
          <w:trHeight w:val="402"/>
        </w:trPr>
        <w:tc>
          <w:tcPr>
            <w:tcW w:w="10491" w:type="dxa"/>
            <w:vAlign w:val="center"/>
          </w:tcPr>
          <w:p w14:paraId="68921DB5"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0B1AE1E1" w14:textId="77777777" w:rsidTr="00A5032D">
        <w:trPr>
          <w:cantSplit/>
          <w:trHeight w:val="402"/>
        </w:trPr>
        <w:tc>
          <w:tcPr>
            <w:tcW w:w="10491" w:type="dxa"/>
            <w:vAlign w:val="center"/>
          </w:tcPr>
          <w:p w14:paraId="0A55729F"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5136332F" w14:textId="77777777" w:rsidTr="00A5032D">
        <w:trPr>
          <w:cantSplit/>
          <w:trHeight w:val="402"/>
        </w:trPr>
        <w:tc>
          <w:tcPr>
            <w:tcW w:w="10491" w:type="dxa"/>
            <w:vAlign w:val="center"/>
          </w:tcPr>
          <w:p w14:paraId="21583D59"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37B655DB" w14:textId="77777777" w:rsidTr="00A5032D">
        <w:trPr>
          <w:cantSplit/>
          <w:trHeight w:val="402"/>
        </w:trPr>
        <w:tc>
          <w:tcPr>
            <w:tcW w:w="10491" w:type="dxa"/>
            <w:vAlign w:val="center"/>
          </w:tcPr>
          <w:p w14:paraId="2756603A"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0689478B" w14:textId="77777777" w:rsidTr="00A5032D">
        <w:trPr>
          <w:cantSplit/>
          <w:trHeight w:val="402"/>
        </w:trPr>
        <w:tc>
          <w:tcPr>
            <w:tcW w:w="10491" w:type="dxa"/>
            <w:vAlign w:val="center"/>
          </w:tcPr>
          <w:p w14:paraId="690882A8"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5B8A512C" w14:textId="77777777" w:rsidR="00BA46D7" w:rsidRDefault="00BA46D7" w:rsidP="002A3A93">
      <w:pPr>
        <w:spacing w:after="0"/>
        <w:ind w:hanging="426"/>
        <w:rPr>
          <w:rFonts w:ascii="Cambria" w:hAnsi="Cambria"/>
          <w:b/>
          <w:sz w:val="20"/>
          <w:szCs w:val="20"/>
        </w:rPr>
      </w:pPr>
    </w:p>
    <w:p w14:paraId="6458EF3B"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06015BD9" w14:textId="77777777" w:rsidTr="007730F9">
        <w:tc>
          <w:tcPr>
            <w:tcW w:w="3779" w:type="dxa"/>
            <w:vAlign w:val="center"/>
          </w:tcPr>
          <w:p w14:paraId="42DE9A01"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70C6DD98"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18300A21"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E530BD" w:rsidRPr="002A3A93" w14:paraId="01D6029F" w14:textId="77777777" w:rsidTr="007730F9">
        <w:tc>
          <w:tcPr>
            <w:tcW w:w="3779" w:type="dxa"/>
            <w:vAlign w:val="center"/>
          </w:tcPr>
          <w:p w14:paraId="2DB76BC9" w14:textId="1C1FE287" w:rsidR="00E530BD" w:rsidRPr="00C01652" w:rsidRDefault="00E530BD" w:rsidP="00E530BD">
            <w:pPr>
              <w:spacing w:after="0" w:line="240" w:lineRule="auto"/>
              <w:rPr>
                <w:rFonts w:ascii="Cambria" w:hAnsi="Cambria"/>
                <w:b/>
                <w:sz w:val="20"/>
                <w:szCs w:val="20"/>
              </w:rPr>
            </w:pPr>
            <w:r w:rsidRPr="00C01652">
              <w:rPr>
                <w:rFonts w:ascii="Cambria" w:hAnsi="Cambria"/>
                <w:sz w:val="20"/>
                <w:szCs w:val="20"/>
              </w:rPr>
              <w:t xml:space="preserve">1. </w:t>
            </w:r>
            <w:r w:rsidRPr="00C01652">
              <w:rPr>
                <w:rFonts w:ascii="Cambria" w:hAnsi="Cambria"/>
                <w:b/>
                <w:sz w:val="20"/>
                <w:szCs w:val="20"/>
              </w:rPr>
              <w:t>Introductory course</w:t>
            </w:r>
          </w:p>
          <w:p w14:paraId="4E320691" w14:textId="6CF4C949" w:rsidR="00E530BD" w:rsidRPr="00C01652" w:rsidRDefault="00E530BD" w:rsidP="00E530BD">
            <w:pPr>
              <w:spacing w:after="0" w:line="240" w:lineRule="auto"/>
              <w:rPr>
                <w:rFonts w:ascii="Cambria" w:hAnsi="Cambria" w:cstheme="minorHAnsi"/>
                <w:sz w:val="20"/>
                <w:szCs w:val="20"/>
              </w:rPr>
            </w:pPr>
            <w:r w:rsidRPr="00C01652">
              <w:rPr>
                <w:rFonts w:ascii="Cambria" w:hAnsi="Cambria"/>
                <w:color w:val="000000"/>
                <w:sz w:val="20"/>
                <w:szCs w:val="20"/>
              </w:rPr>
              <w:t>Discussion of the course and seminar structure and requirements.</w:t>
            </w:r>
          </w:p>
        </w:tc>
        <w:tc>
          <w:tcPr>
            <w:tcW w:w="3420" w:type="dxa"/>
            <w:vAlign w:val="center"/>
          </w:tcPr>
          <w:p w14:paraId="7032D026" w14:textId="412BE617" w:rsidR="00E530BD" w:rsidRPr="00C01652" w:rsidRDefault="00E530BD"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68683C16" w14:textId="36DD1A79" w:rsidR="00E530BD" w:rsidRPr="00C01652" w:rsidRDefault="00E530BD" w:rsidP="00E530BD">
            <w:pPr>
              <w:spacing w:after="0" w:line="240" w:lineRule="auto"/>
              <w:rPr>
                <w:rFonts w:ascii="Cambria" w:hAnsi="Cambria" w:cstheme="minorHAnsi"/>
                <w:sz w:val="20"/>
                <w:szCs w:val="20"/>
              </w:rPr>
            </w:pPr>
          </w:p>
        </w:tc>
      </w:tr>
      <w:tr w:rsidR="00E530BD" w:rsidRPr="002A3A93" w14:paraId="3AC61529" w14:textId="77777777" w:rsidTr="007730F9">
        <w:tc>
          <w:tcPr>
            <w:tcW w:w="3779" w:type="dxa"/>
            <w:vAlign w:val="center"/>
          </w:tcPr>
          <w:p w14:paraId="2378F249" w14:textId="77777777" w:rsidR="00E530BD" w:rsidRPr="00C01652" w:rsidRDefault="00E530BD" w:rsidP="00E530BD">
            <w:pPr>
              <w:pStyle w:val="pdq2pgselectionanchorcontainer"/>
              <w:rPr>
                <w:rFonts w:ascii="Cambria" w:hAnsi="Cambria"/>
                <w:color w:val="000000"/>
                <w:sz w:val="20"/>
                <w:szCs w:val="20"/>
              </w:rPr>
            </w:pPr>
            <w:r w:rsidRPr="00C01652">
              <w:rPr>
                <w:rFonts w:ascii="Cambria" w:hAnsi="Cambria"/>
                <w:b/>
                <w:sz w:val="20"/>
                <w:szCs w:val="20"/>
              </w:rPr>
              <w:t xml:space="preserve">2. </w:t>
            </w:r>
            <w:r w:rsidRPr="00C01652">
              <w:rPr>
                <w:rStyle w:val="Strong"/>
                <w:rFonts w:ascii="Cambria" w:hAnsi="Cambria"/>
                <w:color w:val="000000"/>
                <w:sz w:val="20"/>
                <w:szCs w:val="20"/>
              </w:rPr>
              <w:t>Fundamental Questions about the European Union</w:t>
            </w:r>
          </w:p>
          <w:p w14:paraId="71F3AA8A" w14:textId="77777777"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This interactive course will address the most important questions concerning the EU’s existence, sustainability, and possible future models.</w:t>
            </w:r>
          </w:p>
          <w:p w14:paraId="5591C29F" w14:textId="3801760B" w:rsidR="00E530BD" w:rsidRPr="00C01652" w:rsidRDefault="00E530BD" w:rsidP="00E530BD">
            <w:pPr>
              <w:pStyle w:val="ListParagraph"/>
              <w:numPr>
                <w:ilvl w:val="5"/>
                <w:numId w:val="19"/>
              </w:numPr>
              <w:spacing w:after="0" w:line="240" w:lineRule="auto"/>
              <w:jc w:val="both"/>
              <w:rPr>
                <w:rFonts w:ascii="Cambria" w:hAnsi="Cambria"/>
                <w:b/>
                <w:bCs/>
                <w:sz w:val="20"/>
                <w:szCs w:val="20"/>
              </w:rPr>
            </w:pPr>
          </w:p>
          <w:p w14:paraId="53E437C9" w14:textId="77777777" w:rsidR="00E530BD" w:rsidRPr="00C01652" w:rsidRDefault="00E530BD" w:rsidP="00E530BD">
            <w:pPr>
              <w:pStyle w:val="Heading1"/>
              <w:keepNext w:val="0"/>
              <w:keepLines w:val="0"/>
              <w:numPr>
                <w:ilvl w:val="4"/>
                <w:numId w:val="19"/>
              </w:numPr>
              <w:spacing w:before="0" w:after="0" w:line="240" w:lineRule="auto"/>
              <w:rPr>
                <w:rFonts w:ascii="Cambria" w:hAnsi="Cambria" w:cs="Times New Roman"/>
                <w:color w:val="auto"/>
                <w:sz w:val="20"/>
                <w:szCs w:val="20"/>
              </w:rPr>
            </w:pPr>
            <w:r w:rsidRPr="00C01652">
              <w:rPr>
                <w:rFonts w:ascii="Cambria" w:hAnsi="Cambria" w:cs="Times New Roman"/>
                <w:color w:val="auto"/>
                <w:sz w:val="20"/>
                <w:szCs w:val="20"/>
              </w:rPr>
              <w:t>Nugent, N. The Government and Politics of the European Union, Bloomsbury Publishing, 2017, Ch. 1</w:t>
            </w:r>
          </w:p>
          <w:p w14:paraId="359EA12D" w14:textId="77777777" w:rsidR="00E530BD" w:rsidRPr="00C01652" w:rsidRDefault="00E530BD" w:rsidP="00E530BD">
            <w:pPr>
              <w:spacing w:after="0" w:line="240" w:lineRule="auto"/>
              <w:rPr>
                <w:rFonts w:ascii="Cambria" w:hAnsi="Cambria" w:cstheme="minorHAnsi"/>
                <w:sz w:val="20"/>
                <w:szCs w:val="20"/>
              </w:rPr>
            </w:pPr>
          </w:p>
        </w:tc>
        <w:tc>
          <w:tcPr>
            <w:tcW w:w="3420" w:type="dxa"/>
            <w:vAlign w:val="center"/>
          </w:tcPr>
          <w:p w14:paraId="2199FF89" w14:textId="6954CB32" w:rsidR="00E530BD" w:rsidRPr="00C01652" w:rsidRDefault="00E530BD"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2BECE97C" w14:textId="5B4D59B7" w:rsidR="00E530BD" w:rsidRPr="00C01652" w:rsidRDefault="00E530BD" w:rsidP="00E530BD">
            <w:pPr>
              <w:spacing w:after="0" w:line="240" w:lineRule="auto"/>
              <w:rPr>
                <w:rFonts w:ascii="Cambria" w:hAnsi="Cambria" w:cstheme="minorHAnsi"/>
                <w:sz w:val="20"/>
                <w:szCs w:val="20"/>
              </w:rPr>
            </w:pPr>
          </w:p>
        </w:tc>
      </w:tr>
      <w:tr w:rsidR="00E530BD" w:rsidRPr="002A3A93" w14:paraId="14E03798" w14:textId="77777777" w:rsidTr="007730F9">
        <w:tc>
          <w:tcPr>
            <w:tcW w:w="3779" w:type="dxa"/>
            <w:vAlign w:val="center"/>
          </w:tcPr>
          <w:p w14:paraId="20854258" w14:textId="77777777" w:rsidR="00E530BD" w:rsidRPr="00C01652" w:rsidRDefault="00E530BD" w:rsidP="00E530BD">
            <w:pPr>
              <w:pStyle w:val="pdq2pgselectionanchorcontainer"/>
              <w:rPr>
                <w:rFonts w:ascii="Cambria" w:hAnsi="Cambria"/>
                <w:color w:val="000000"/>
                <w:sz w:val="20"/>
                <w:szCs w:val="20"/>
              </w:rPr>
            </w:pPr>
            <w:r w:rsidRPr="00C01652">
              <w:rPr>
                <w:rFonts w:ascii="Cambria" w:hAnsi="Cambria"/>
                <w:b/>
                <w:sz w:val="20"/>
                <w:szCs w:val="20"/>
              </w:rPr>
              <w:t xml:space="preserve">3. </w:t>
            </w:r>
            <w:r w:rsidRPr="00C01652">
              <w:rPr>
                <w:rStyle w:val="Strong"/>
                <w:rFonts w:ascii="Cambria" w:hAnsi="Cambria"/>
                <w:color w:val="000000"/>
                <w:sz w:val="20"/>
                <w:szCs w:val="20"/>
              </w:rPr>
              <w:t>The History of European Integration</w:t>
            </w:r>
          </w:p>
          <w:p w14:paraId="651877D9" w14:textId="60E9CEE0"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The key milestones in European integration will be discussed from a historical perspective.</w:t>
            </w:r>
          </w:p>
          <w:p w14:paraId="7343C383" w14:textId="77777777" w:rsidR="00E530BD" w:rsidRPr="00C01652" w:rsidRDefault="00E530BD" w:rsidP="00E530BD">
            <w:pPr>
              <w:pStyle w:val="Heading1"/>
              <w:keepNext w:val="0"/>
              <w:keepLines w:val="0"/>
              <w:spacing w:before="0" w:after="0" w:line="240" w:lineRule="auto"/>
              <w:rPr>
                <w:rFonts w:ascii="Cambria" w:hAnsi="Cambria" w:cs="Times New Roman"/>
                <w:color w:val="auto"/>
                <w:sz w:val="20"/>
                <w:szCs w:val="20"/>
              </w:rPr>
            </w:pPr>
            <w:r w:rsidRPr="00C01652">
              <w:rPr>
                <w:rFonts w:ascii="Cambria" w:hAnsi="Cambria" w:cs="Times New Roman"/>
                <w:color w:val="auto"/>
                <w:sz w:val="20"/>
                <w:szCs w:val="20"/>
              </w:rPr>
              <w:t>Nugent, N. The Government and Politics of the European Union, Bloomsbury Publishing, 2017, Ch. 2-5</w:t>
            </w:r>
          </w:p>
          <w:p w14:paraId="09B061B8" w14:textId="77777777" w:rsidR="00E530BD" w:rsidRPr="00C01652" w:rsidRDefault="00E530BD" w:rsidP="00E530BD">
            <w:pPr>
              <w:spacing w:after="0" w:line="240" w:lineRule="auto"/>
              <w:rPr>
                <w:rFonts w:ascii="Cambria" w:hAnsi="Cambria"/>
                <w:sz w:val="20"/>
                <w:szCs w:val="20"/>
              </w:rPr>
            </w:pPr>
          </w:p>
          <w:p w14:paraId="74992D4B" w14:textId="4EA17D53" w:rsidR="00E530BD" w:rsidRPr="00C01652" w:rsidRDefault="00E530BD" w:rsidP="00E530BD">
            <w:pPr>
              <w:autoSpaceDE w:val="0"/>
              <w:autoSpaceDN w:val="0"/>
              <w:adjustRightInd w:val="0"/>
              <w:spacing w:after="0" w:line="240" w:lineRule="auto"/>
              <w:rPr>
                <w:rFonts w:ascii="Cambria" w:hAnsi="Cambria" w:cstheme="minorHAnsi"/>
                <w:sz w:val="20"/>
                <w:szCs w:val="20"/>
              </w:rPr>
            </w:pPr>
            <w:r w:rsidRPr="00C01652">
              <w:rPr>
                <w:rFonts w:ascii="Cambria" w:hAnsi="Cambria"/>
                <w:sz w:val="20"/>
                <w:szCs w:val="20"/>
              </w:rPr>
              <w:t>Chalmers, D. at al., European Union Law, Second edition, Cambdige University Press,  2010, Ch. 1-3</w:t>
            </w:r>
          </w:p>
        </w:tc>
        <w:tc>
          <w:tcPr>
            <w:tcW w:w="3420" w:type="dxa"/>
            <w:vAlign w:val="center"/>
          </w:tcPr>
          <w:p w14:paraId="336B8391" w14:textId="252C835A"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3EA32C1D" w14:textId="37B7CA3E" w:rsidR="00E530BD" w:rsidRPr="00C01652" w:rsidRDefault="00E530BD" w:rsidP="00E530BD">
            <w:pPr>
              <w:spacing w:after="0" w:line="240" w:lineRule="auto"/>
              <w:rPr>
                <w:rFonts w:ascii="Cambria" w:hAnsi="Cambria" w:cstheme="minorHAnsi"/>
                <w:sz w:val="20"/>
                <w:szCs w:val="20"/>
              </w:rPr>
            </w:pPr>
          </w:p>
        </w:tc>
      </w:tr>
      <w:tr w:rsidR="00E530BD" w:rsidRPr="002A3A93" w14:paraId="5F2BB0D2" w14:textId="77777777" w:rsidTr="007730F9">
        <w:tc>
          <w:tcPr>
            <w:tcW w:w="3779" w:type="dxa"/>
            <w:vAlign w:val="center"/>
          </w:tcPr>
          <w:p w14:paraId="4DF31138" w14:textId="77777777" w:rsidR="00E530BD" w:rsidRPr="00C01652" w:rsidRDefault="00E530BD" w:rsidP="00E530BD">
            <w:pPr>
              <w:pStyle w:val="pdq2pgselectionanchorcontainer"/>
              <w:rPr>
                <w:rFonts w:ascii="Cambria" w:hAnsi="Cambria"/>
                <w:color w:val="000000"/>
                <w:sz w:val="20"/>
                <w:szCs w:val="20"/>
              </w:rPr>
            </w:pPr>
            <w:r w:rsidRPr="00C01652">
              <w:rPr>
                <w:rFonts w:ascii="Cambria" w:hAnsi="Cambria"/>
                <w:b/>
                <w:sz w:val="20"/>
                <w:szCs w:val="20"/>
              </w:rPr>
              <w:t xml:space="preserve">4. </w:t>
            </w:r>
            <w:r w:rsidRPr="00C01652">
              <w:rPr>
                <w:rStyle w:val="Strong"/>
                <w:rFonts w:ascii="Cambria" w:hAnsi="Cambria"/>
                <w:color w:val="000000"/>
                <w:sz w:val="20"/>
                <w:szCs w:val="20"/>
              </w:rPr>
              <w:t>Ideas in European Integration</w:t>
            </w:r>
          </w:p>
          <w:p w14:paraId="2F696EE6" w14:textId="2B73E731"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lastRenderedPageBreak/>
              <w:t>The idea of European integration is neither new nor simple. The fundamental ideas underpinning the vision of a European Union, as well as ideas that challenge or oppose the European project, will be explored in this course. The key values underpinning the EU and their operationalisation through various policies will also be discussed.</w:t>
            </w:r>
          </w:p>
          <w:p w14:paraId="20E5BB2C" w14:textId="77777777" w:rsidR="00E530BD" w:rsidRPr="00C01652" w:rsidRDefault="00E530BD" w:rsidP="00E530BD">
            <w:pPr>
              <w:pStyle w:val="Heading1"/>
              <w:keepNext w:val="0"/>
              <w:keepLines w:val="0"/>
              <w:spacing w:before="0" w:after="0" w:line="240" w:lineRule="auto"/>
              <w:rPr>
                <w:rFonts w:ascii="Cambria" w:hAnsi="Cambria" w:cs="Times New Roman"/>
                <w:color w:val="auto"/>
                <w:sz w:val="20"/>
                <w:szCs w:val="20"/>
              </w:rPr>
            </w:pPr>
            <w:r w:rsidRPr="00C01652">
              <w:rPr>
                <w:rFonts w:ascii="Cambria" w:hAnsi="Cambria" w:cs="Times New Roman"/>
                <w:color w:val="auto"/>
                <w:sz w:val="20"/>
                <w:szCs w:val="20"/>
              </w:rPr>
              <w:t>Nugent, N. The Government and Politics of the European Union, Bloomsbury Publishing, 2017, Ch. 24-25</w:t>
            </w:r>
          </w:p>
          <w:p w14:paraId="284A3DC2" w14:textId="77777777" w:rsidR="00E530BD" w:rsidRPr="00C01652" w:rsidRDefault="00E530BD" w:rsidP="00E530BD">
            <w:pPr>
              <w:spacing w:after="0" w:line="240" w:lineRule="auto"/>
              <w:rPr>
                <w:rFonts w:ascii="Cambria" w:hAnsi="Cambria"/>
                <w:sz w:val="20"/>
                <w:szCs w:val="20"/>
              </w:rPr>
            </w:pPr>
          </w:p>
          <w:p w14:paraId="094A4577" w14:textId="43300CD9" w:rsidR="00E530BD" w:rsidRPr="00C01652" w:rsidRDefault="00E530BD" w:rsidP="00E530BD">
            <w:pPr>
              <w:spacing w:after="0" w:line="240" w:lineRule="auto"/>
              <w:rPr>
                <w:rFonts w:ascii="Cambria" w:hAnsi="Cambria" w:cstheme="minorHAnsi"/>
                <w:sz w:val="20"/>
                <w:szCs w:val="20"/>
              </w:rPr>
            </w:pPr>
            <w:r w:rsidRPr="00C01652">
              <w:rPr>
                <w:rFonts w:ascii="Cambria" w:hAnsi="Cambria"/>
                <w:sz w:val="20"/>
                <w:szCs w:val="20"/>
              </w:rPr>
              <w:t>Biscop, S. et al (eds). The EU and the European Security Strategy. Forging a Global Europe, Routledge, 2008, Ch. 14, 24</w:t>
            </w:r>
          </w:p>
        </w:tc>
        <w:tc>
          <w:tcPr>
            <w:tcW w:w="3420" w:type="dxa"/>
            <w:vAlign w:val="center"/>
          </w:tcPr>
          <w:p w14:paraId="01578960" w14:textId="62465FF0"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lastRenderedPageBreak/>
              <w:t>Interactive presentation</w:t>
            </w:r>
          </w:p>
        </w:tc>
        <w:tc>
          <w:tcPr>
            <w:tcW w:w="3292" w:type="dxa"/>
            <w:vAlign w:val="center"/>
          </w:tcPr>
          <w:p w14:paraId="163DE29F" w14:textId="40DB57C6" w:rsidR="00E530BD" w:rsidRPr="00C01652" w:rsidRDefault="00E530BD" w:rsidP="00E530BD">
            <w:pPr>
              <w:spacing w:after="0" w:line="240" w:lineRule="auto"/>
              <w:rPr>
                <w:rFonts w:ascii="Cambria" w:hAnsi="Cambria" w:cstheme="minorHAnsi"/>
                <w:sz w:val="20"/>
                <w:szCs w:val="20"/>
              </w:rPr>
            </w:pPr>
          </w:p>
        </w:tc>
      </w:tr>
      <w:tr w:rsidR="00E530BD" w:rsidRPr="002A3A93" w14:paraId="70A71393" w14:textId="77777777" w:rsidTr="007730F9">
        <w:tc>
          <w:tcPr>
            <w:tcW w:w="3779" w:type="dxa"/>
            <w:vAlign w:val="center"/>
          </w:tcPr>
          <w:p w14:paraId="434F000E" w14:textId="77777777" w:rsidR="00E530BD" w:rsidRPr="00C01652" w:rsidRDefault="00E530BD" w:rsidP="00E530BD">
            <w:pPr>
              <w:pStyle w:val="isselectedend"/>
              <w:rPr>
                <w:rFonts w:ascii="Cambria" w:hAnsi="Cambria"/>
                <w:color w:val="000000"/>
                <w:sz w:val="20"/>
                <w:szCs w:val="20"/>
              </w:rPr>
            </w:pPr>
            <w:r w:rsidRPr="00C01652">
              <w:rPr>
                <w:rFonts w:ascii="Cambria" w:hAnsi="Cambria"/>
                <w:b/>
                <w:sz w:val="20"/>
                <w:szCs w:val="20"/>
              </w:rPr>
              <w:t xml:space="preserve">5. </w:t>
            </w:r>
            <w:r w:rsidRPr="00C01652">
              <w:rPr>
                <w:rStyle w:val="Strong"/>
                <w:rFonts w:ascii="Cambria" w:hAnsi="Cambria"/>
                <w:color w:val="000000"/>
                <w:sz w:val="20"/>
                <w:szCs w:val="20"/>
              </w:rPr>
              <w:t>EU Integration: Past, Present and Future</w:t>
            </w:r>
          </w:p>
          <w:p w14:paraId="17C31BB4" w14:textId="5EE0BEBB"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The EU will be discussed as a</w:t>
            </w:r>
            <w:r w:rsidRPr="00C01652">
              <w:rPr>
                <w:rStyle w:val="apple-converted-space"/>
                <w:rFonts w:ascii="Cambria" w:hAnsi="Cambria"/>
                <w:color w:val="000000"/>
                <w:sz w:val="20"/>
                <w:szCs w:val="20"/>
              </w:rPr>
              <w:t> </w:t>
            </w:r>
            <w:r w:rsidRPr="00C01652">
              <w:rPr>
                <w:rStyle w:val="Emphasis"/>
                <w:rFonts w:ascii="Cambria" w:hAnsi="Cambria"/>
                <w:color w:val="000000"/>
                <w:sz w:val="20"/>
                <w:szCs w:val="20"/>
              </w:rPr>
              <w:t>sui generis</w:t>
            </w:r>
            <w:r w:rsidRPr="00C01652">
              <w:rPr>
                <w:rStyle w:val="apple-converted-space"/>
                <w:rFonts w:ascii="Cambria" w:hAnsi="Cambria"/>
                <w:color w:val="000000"/>
                <w:sz w:val="20"/>
                <w:szCs w:val="20"/>
              </w:rPr>
              <w:t> </w:t>
            </w:r>
            <w:r w:rsidRPr="00C01652">
              <w:rPr>
                <w:rFonts w:ascii="Cambria" w:hAnsi="Cambria"/>
                <w:color w:val="000000"/>
                <w:sz w:val="20"/>
                <w:szCs w:val="20"/>
              </w:rPr>
              <w:t>concept. The most notable changes in the European project have evolved around the major moments of enlargement. The evolution of the concept, the conditions for enlargement, and the future commitment to enlargement will be discussed in this course.</w:t>
            </w:r>
          </w:p>
          <w:p w14:paraId="386C1536" w14:textId="77777777" w:rsidR="00E530BD" w:rsidRPr="00C01652" w:rsidRDefault="00E530BD" w:rsidP="00E530BD">
            <w:pPr>
              <w:pStyle w:val="Heading1"/>
              <w:keepNext w:val="0"/>
              <w:keepLines w:val="0"/>
              <w:spacing w:before="0" w:after="0" w:line="240" w:lineRule="auto"/>
              <w:rPr>
                <w:rFonts w:ascii="Cambria" w:hAnsi="Cambria" w:cs="Times New Roman"/>
                <w:color w:val="auto"/>
                <w:sz w:val="20"/>
                <w:szCs w:val="20"/>
              </w:rPr>
            </w:pPr>
            <w:r w:rsidRPr="00C01652">
              <w:rPr>
                <w:rFonts w:ascii="Cambria" w:hAnsi="Cambria" w:cs="Times New Roman"/>
                <w:color w:val="auto"/>
                <w:sz w:val="20"/>
                <w:szCs w:val="20"/>
              </w:rPr>
              <w:t>Nugent, N. The Government and Politics of the European Union, Bloomsbury Publishing, 2017, Ch. 26</w:t>
            </w:r>
          </w:p>
          <w:p w14:paraId="25769382" w14:textId="77777777" w:rsidR="00E530BD" w:rsidRPr="00C01652" w:rsidRDefault="00E530BD" w:rsidP="00E530BD">
            <w:pPr>
              <w:spacing w:after="0" w:line="240" w:lineRule="auto"/>
              <w:rPr>
                <w:rFonts w:ascii="Cambria" w:hAnsi="Cambria"/>
                <w:sz w:val="20"/>
                <w:szCs w:val="20"/>
              </w:rPr>
            </w:pPr>
          </w:p>
          <w:p w14:paraId="3306C552" w14:textId="5105A25D" w:rsidR="00E530BD" w:rsidRPr="00C01652" w:rsidRDefault="00E530BD" w:rsidP="00E530BD">
            <w:pPr>
              <w:spacing w:after="0" w:line="240" w:lineRule="auto"/>
              <w:rPr>
                <w:rFonts w:ascii="Cambria" w:hAnsi="Cambria" w:cstheme="minorHAnsi"/>
                <w:b/>
                <w:sz w:val="20"/>
                <w:szCs w:val="20"/>
              </w:rPr>
            </w:pPr>
            <w:r w:rsidRPr="00C01652">
              <w:rPr>
                <w:rFonts w:ascii="Cambria" w:hAnsi="Cambria"/>
                <w:sz w:val="20"/>
                <w:szCs w:val="20"/>
              </w:rPr>
              <w:t>Biscop, S. et al (eds). The EU and the European Security Strategy. Forging a Global Europe, Routledge, 2008, Ch. 9, 15</w:t>
            </w:r>
          </w:p>
        </w:tc>
        <w:tc>
          <w:tcPr>
            <w:tcW w:w="3420" w:type="dxa"/>
            <w:vAlign w:val="center"/>
          </w:tcPr>
          <w:p w14:paraId="25CCAE43" w14:textId="0D0C5FE8"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38460127" w14:textId="2EC801E0" w:rsidR="00E530BD" w:rsidRPr="00C01652" w:rsidRDefault="00E530BD" w:rsidP="00E530BD">
            <w:pPr>
              <w:spacing w:after="0" w:line="240" w:lineRule="auto"/>
              <w:rPr>
                <w:rFonts w:ascii="Cambria" w:hAnsi="Cambria" w:cstheme="minorHAnsi"/>
                <w:sz w:val="20"/>
                <w:szCs w:val="20"/>
              </w:rPr>
            </w:pPr>
          </w:p>
        </w:tc>
      </w:tr>
      <w:tr w:rsidR="00E530BD" w:rsidRPr="002A3A93" w14:paraId="23687DCA" w14:textId="77777777" w:rsidTr="007730F9">
        <w:tc>
          <w:tcPr>
            <w:tcW w:w="3779" w:type="dxa"/>
            <w:vAlign w:val="center"/>
          </w:tcPr>
          <w:p w14:paraId="5A52DFD4" w14:textId="77777777" w:rsidR="00E530BD" w:rsidRPr="00C01652" w:rsidRDefault="00E530BD" w:rsidP="00E530BD">
            <w:pPr>
              <w:pStyle w:val="isselectedend"/>
              <w:rPr>
                <w:rFonts w:ascii="Cambria" w:hAnsi="Cambria"/>
                <w:color w:val="000000"/>
                <w:sz w:val="20"/>
                <w:szCs w:val="20"/>
              </w:rPr>
            </w:pPr>
            <w:r w:rsidRPr="00C01652">
              <w:rPr>
                <w:rFonts w:ascii="Cambria" w:hAnsi="Cambria"/>
                <w:b/>
                <w:sz w:val="20"/>
                <w:szCs w:val="20"/>
              </w:rPr>
              <w:t xml:space="preserve">6. </w:t>
            </w:r>
            <w:r w:rsidRPr="00C01652">
              <w:rPr>
                <w:rStyle w:val="Strong"/>
                <w:rFonts w:ascii="Cambria" w:hAnsi="Cambria"/>
                <w:color w:val="000000"/>
                <w:sz w:val="20"/>
                <w:szCs w:val="20"/>
              </w:rPr>
              <w:t>Imagining the World from the European Union</w:t>
            </w:r>
          </w:p>
          <w:p w14:paraId="1637C0EE" w14:textId="5B42B588"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In a multipolar international community, the European Union represents a set of values and interests. This course will explore the EU’s perspective on its near and distant neighbourhoods, its most important partnerships, including the transatlantic partnership, as well as the EU’s public diplomacy strategy.</w:t>
            </w:r>
          </w:p>
          <w:p w14:paraId="05C57E77" w14:textId="77777777" w:rsidR="00E530BD" w:rsidRPr="00C01652" w:rsidRDefault="00E530BD" w:rsidP="00E530BD">
            <w:pPr>
              <w:pStyle w:val="Heading1"/>
              <w:keepNext w:val="0"/>
              <w:keepLines w:val="0"/>
              <w:spacing w:before="0" w:after="0" w:line="240" w:lineRule="auto"/>
              <w:rPr>
                <w:rFonts w:ascii="Cambria" w:hAnsi="Cambria" w:cs="Times New Roman"/>
                <w:color w:val="auto"/>
                <w:sz w:val="20"/>
                <w:szCs w:val="20"/>
              </w:rPr>
            </w:pPr>
            <w:r w:rsidRPr="00C01652">
              <w:rPr>
                <w:rFonts w:ascii="Cambria" w:hAnsi="Cambria" w:cs="Times New Roman"/>
                <w:color w:val="auto"/>
                <w:sz w:val="20"/>
                <w:szCs w:val="20"/>
              </w:rPr>
              <w:t>Nugent, N. The Government and Politics of the European Union, Bloomsbury Publishing, 2017, Ch. 22</w:t>
            </w:r>
          </w:p>
          <w:p w14:paraId="049149EA" w14:textId="77777777" w:rsidR="00E530BD" w:rsidRPr="00C01652" w:rsidRDefault="00E530BD" w:rsidP="00E530BD">
            <w:pPr>
              <w:spacing w:after="0" w:line="240" w:lineRule="auto"/>
              <w:rPr>
                <w:rFonts w:ascii="Cambria" w:hAnsi="Cambria"/>
                <w:sz w:val="20"/>
                <w:szCs w:val="20"/>
              </w:rPr>
            </w:pPr>
          </w:p>
          <w:p w14:paraId="54CD4FB4" w14:textId="77777777" w:rsidR="00E530BD" w:rsidRPr="00C01652" w:rsidRDefault="00E530BD" w:rsidP="00E530BD">
            <w:pPr>
              <w:spacing w:after="0" w:line="240" w:lineRule="auto"/>
              <w:rPr>
                <w:rFonts w:ascii="Cambria" w:hAnsi="Cambria"/>
                <w:sz w:val="20"/>
                <w:szCs w:val="20"/>
              </w:rPr>
            </w:pPr>
            <w:r w:rsidRPr="00C01652">
              <w:rPr>
                <w:rFonts w:ascii="Cambria" w:hAnsi="Cambria"/>
                <w:sz w:val="20"/>
                <w:szCs w:val="20"/>
              </w:rPr>
              <w:t>Biscop, S. et al (eds). The EU and the European Security Strategy. Forging a Global Europe, Routledge, 2008, Ch. 9, 15, 18, 30, 36, 37</w:t>
            </w:r>
          </w:p>
          <w:p w14:paraId="637780FC" w14:textId="77777777" w:rsidR="00E530BD" w:rsidRPr="00C01652" w:rsidRDefault="00E530BD" w:rsidP="00E530BD">
            <w:pPr>
              <w:spacing w:after="0" w:line="240" w:lineRule="auto"/>
              <w:rPr>
                <w:rFonts w:ascii="Cambria" w:hAnsi="Cambria"/>
                <w:sz w:val="20"/>
                <w:szCs w:val="20"/>
              </w:rPr>
            </w:pPr>
            <w:r w:rsidRPr="00C01652">
              <w:rPr>
                <w:rFonts w:ascii="Cambria" w:hAnsi="Cambria"/>
                <w:sz w:val="20"/>
                <w:szCs w:val="20"/>
              </w:rPr>
              <w:t>Cameron, F. An introduction to European Foreign Policy, Routledge 2007, Ch. 1, 6, 7, 13</w:t>
            </w:r>
          </w:p>
          <w:p w14:paraId="639B18BA" w14:textId="7A9C2028" w:rsidR="00E530BD" w:rsidRPr="00C01652" w:rsidRDefault="00E530BD" w:rsidP="00E530BD">
            <w:pPr>
              <w:spacing w:after="0" w:line="240" w:lineRule="auto"/>
              <w:rPr>
                <w:rFonts w:ascii="Cambria" w:hAnsi="Cambria" w:cstheme="minorHAnsi"/>
                <w:sz w:val="20"/>
                <w:szCs w:val="20"/>
              </w:rPr>
            </w:pPr>
            <w:r w:rsidRPr="00C01652">
              <w:rPr>
                <w:rFonts w:ascii="Cambria" w:hAnsi="Cambria"/>
                <w:sz w:val="20"/>
                <w:szCs w:val="20"/>
              </w:rPr>
              <w:lastRenderedPageBreak/>
              <w:t>Chalmers, D. at al., European Union Law, Second edition, Cambdige University Press,  2010, Ch.15</w:t>
            </w:r>
          </w:p>
        </w:tc>
        <w:tc>
          <w:tcPr>
            <w:tcW w:w="3420" w:type="dxa"/>
            <w:vAlign w:val="center"/>
          </w:tcPr>
          <w:p w14:paraId="5010935A" w14:textId="01D8F4D0"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lastRenderedPageBreak/>
              <w:t>Interactive presentation</w:t>
            </w:r>
          </w:p>
        </w:tc>
        <w:tc>
          <w:tcPr>
            <w:tcW w:w="3292" w:type="dxa"/>
            <w:vAlign w:val="center"/>
          </w:tcPr>
          <w:p w14:paraId="26F1C03C" w14:textId="7B3474A6" w:rsidR="00E530BD" w:rsidRPr="00C01652" w:rsidRDefault="00E530BD" w:rsidP="00E530BD">
            <w:pPr>
              <w:spacing w:after="0" w:line="240" w:lineRule="auto"/>
              <w:rPr>
                <w:rFonts w:ascii="Cambria" w:hAnsi="Cambria" w:cstheme="minorHAnsi"/>
                <w:sz w:val="20"/>
                <w:szCs w:val="20"/>
              </w:rPr>
            </w:pPr>
          </w:p>
        </w:tc>
      </w:tr>
      <w:tr w:rsidR="00E530BD" w:rsidRPr="002A3A93" w14:paraId="4CAFE04E" w14:textId="77777777" w:rsidTr="007730F9">
        <w:tc>
          <w:tcPr>
            <w:tcW w:w="3779" w:type="dxa"/>
            <w:vAlign w:val="center"/>
          </w:tcPr>
          <w:p w14:paraId="69B008EF" w14:textId="77777777" w:rsidR="00E530BD" w:rsidRPr="00C01652" w:rsidRDefault="00E530BD" w:rsidP="00E530BD">
            <w:pPr>
              <w:pStyle w:val="isselectedend"/>
              <w:rPr>
                <w:rFonts w:ascii="Cambria" w:hAnsi="Cambria"/>
                <w:color w:val="000000"/>
                <w:sz w:val="20"/>
                <w:szCs w:val="20"/>
              </w:rPr>
            </w:pPr>
            <w:r w:rsidRPr="00C01652">
              <w:rPr>
                <w:rFonts w:ascii="Cambria" w:hAnsi="Cambria"/>
                <w:b/>
                <w:sz w:val="20"/>
                <w:szCs w:val="20"/>
              </w:rPr>
              <w:t xml:space="preserve">7. </w:t>
            </w:r>
            <w:r w:rsidRPr="00C01652">
              <w:rPr>
                <w:rStyle w:val="Strong"/>
                <w:rFonts w:ascii="Cambria" w:hAnsi="Cambria"/>
                <w:color w:val="000000"/>
                <w:sz w:val="20"/>
                <w:szCs w:val="20"/>
              </w:rPr>
              <w:t>The EU Constitutional Framework</w:t>
            </w:r>
          </w:p>
          <w:p w14:paraId="7601F3FF" w14:textId="3B69FC41"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The treaties that form the underlying legal structure of the EU will be discussed, alongside ideas concerning the constitutional future of the European Union.</w:t>
            </w:r>
          </w:p>
          <w:p w14:paraId="77F1BE5B" w14:textId="77777777" w:rsidR="00E530BD" w:rsidRPr="00C01652" w:rsidRDefault="00E530BD" w:rsidP="00E530BD">
            <w:pPr>
              <w:pStyle w:val="Heading1"/>
              <w:keepNext w:val="0"/>
              <w:keepLines w:val="0"/>
              <w:spacing w:before="0" w:after="0" w:line="240" w:lineRule="auto"/>
              <w:rPr>
                <w:rFonts w:ascii="Cambria" w:hAnsi="Cambria" w:cs="Times New Roman"/>
                <w:color w:val="auto"/>
                <w:sz w:val="20"/>
                <w:szCs w:val="20"/>
              </w:rPr>
            </w:pPr>
            <w:r w:rsidRPr="00C01652">
              <w:rPr>
                <w:rFonts w:ascii="Cambria" w:hAnsi="Cambria" w:cs="Times New Roman"/>
                <w:color w:val="auto"/>
                <w:sz w:val="20"/>
                <w:szCs w:val="20"/>
              </w:rPr>
              <w:t>Nugent, N. The Government and Politics of the European Union, Bloomsbury Publishing, 2017, Ch. 3-8</w:t>
            </w:r>
          </w:p>
          <w:p w14:paraId="1020B088" w14:textId="77777777" w:rsidR="00E530BD" w:rsidRPr="00C01652" w:rsidRDefault="00E530BD" w:rsidP="00E530BD">
            <w:pPr>
              <w:spacing w:after="0" w:line="240" w:lineRule="auto"/>
              <w:rPr>
                <w:rFonts w:ascii="Cambria" w:hAnsi="Cambria"/>
                <w:sz w:val="20"/>
                <w:szCs w:val="20"/>
              </w:rPr>
            </w:pPr>
          </w:p>
          <w:p w14:paraId="3CD87178" w14:textId="51211477" w:rsidR="00E530BD" w:rsidRPr="00C01652" w:rsidRDefault="00E530BD" w:rsidP="00E530BD">
            <w:pPr>
              <w:spacing w:after="0" w:line="240" w:lineRule="auto"/>
              <w:rPr>
                <w:rFonts w:ascii="Cambria" w:hAnsi="Cambria" w:cstheme="minorHAnsi"/>
                <w:sz w:val="20"/>
                <w:szCs w:val="20"/>
              </w:rPr>
            </w:pPr>
            <w:r w:rsidRPr="00C01652">
              <w:rPr>
                <w:rFonts w:ascii="Cambria" w:hAnsi="Cambria"/>
                <w:sz w:val="20"/>
                <w:szCs w:val="20"/>
              </w:rPr>
              <w:t>Chalmers, D. at al., European Union Law, Second edition, Cambdige University Press,  2010, Ch. 3-9</w:t>
            </w:r>
          </w:p>
        </w:tc>
        <w:tc>
          <w:tcPr>
            <w:tcW w:w="3420" w:type="dxa"/>
            <w:vAlign w:val="center"/>
          </w:tcPr>
          <w:p w14:paraId="5685E02F" w14:textId="18747DA6"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68F651E0" w14:textId="48050C4A" w:rsidR="00E530BD" w:rsidRPr="00C01652" w:rsidRDefault="00E530BD" w:rsidP="00E530BD">
            <w:pPr>
              <w:spacing w:after="0" w:line="240" w:lineRule="auto"/>
              <w:rPr>
                <w:rFonts w:ascii="Cambria" w:hAnsi="Cambria" w:cstheme="minorHAnsi"/>
                <w:sz w:val="20"/>
                <w:szCs w:val="20"/>
              </w:rPr>
            </w:pPr>
          </w:p>
        </w:tc>
      </w:tr>
      <w:tr w:rsidR="00E530BD" w:rsidRPr="002A3A93" w14:paraId="1DFFE64D" w14:textId="77777777" w:rsidTr="007730F9">
        <w:tc>
          <w:tcPr>
            <w:tcW w:w="3779" w:type="dxa"/>
            <w:vAlign w:val="center"/>
          </w:tcPr>
          <w:p w14:paraId="1507CFEB" w14:textId="77777777" w:rsidR="00E530BD" w:rsidRPr="00C01652" w:rsidRDefault="00E530BD" w:rsidP="00E530BD">
            <w:pPr>
              <w:pStyle w:val="isselectedend"/>
              <w:rPr>
                <w:rFonts w:ascii="Cambria" w:hAnsi="Cambria"/>
                <w:color w:val="000000"/>
                <w:sz w:val="20"/>
                <w:szCs w:val="20"/>
              </w:rPr>
            </w:pPr>
            <w:r w:rsidRPr="00C01652">
              <w:rPr>
                <w:rFonts w:ascii="Cambria" w:hAnsi="Cambria"/>
                <w:b/>
                <w:sz w:val="20"/>
                <w:szCs w:val="20"/>
              </w:rPr>
              <w:t xml:space="preserve">8. </w:t>
            </w:r>
            <w:r w:rsidRPr="00C01652">
              <w:rPr>
                <w:rStyle w:val="Strong"/>
                <w:rFonts w:ascii="Cambria" w:hAnsi="Cambria"/>
                <w:color w:val="000000"/>
                <w:sz w:val="20"/>
                <w:szCs w:val="20"/>
              </w:rPr>
              <w:t>European Institutions 1: The European Parliament</w:t>
            </w:r>
          </w:p>
          <w:p w14:paraId="67C01DFF" w14:textId="77777777"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The nature and functions of the European Parliament from a historical perspective. Democracy and representation in the EU.</w:t>
            </w:r>
          </w:p>
          <w:p w14:paraId="5884A951" w14:textId="77777777" w:rsidR="00E530BD" w:rsidRPr="00C01652" w:rsidRDefault="00E530BD" w:rsidP="00E530BD">
            <w:pPr>
              <w:spacing w:after="0" w:line="240" w:lineRule="auto"/>
              <w:rPr>
                <w:rFonts w:ascii="Cambria" w:hAnsi="Cambria"/>
                <w:sz w:val="20"/>
                <w:szCs w:val="20"/>
              </w:rPr>
            </w:pPr>
            <w:r w:rsidRPr="00C01652">
              <w:rPr>
                <w:rFonts w:ascii="Cambria" w:hAnsi="Cambria"/>
                <w:sz w:val="20"/>
                <w:szCs w:val="20"/>
              </w:rPr>
              <w:t>Nugent, N. The Government and Politics of the European Union, Bloomsbury Publishing, 2017, Ch.12</w:t>
            </w:r>
          </w:p>
          <w:p w14:paraId="74607F69" w14:textId="77777777" w:rsidR="00E530BD" w:rsidRPr="00C01652" w:rsidRDefault="00E530BD" w:rsidP="00E530BD">
            <w:pPr>
              <w:spacing w:after="0" w:line="240" w:lineRule="auto"/>
              <w:rPr>
                <w:rFonts w:ascii="Cambria" w:hAnsi="Cambria"/>
                <w:sz w:val="20"/>
                <w:szCs w:val="20"/>
              </w:rPr>
            </w:pPr>
          </w:p>
          <w:p w14:paraId="640E4292" w14:textId="3504CA11" w:rsidR="00E530BD" w:rsidRPr="00C01652" w:rsidRDefault="00E530BD" w:rsidP="00E530BD">
            <w:pPr>
              <w:spacing w:after="0" w:line="240" w:lineRule="auto"/>
              <w:rPr>
                <w:rFonts w:ascii="Cambria" w:hAnsi="Cambria" w:cstheme="minorHAnsi"/>
                <w:sz w:val="20"/>
                <w:szCs w:val="20"/>
              </w:rPr>
            </w:pPr>
            <w:r w:rsidRPr="00C01652">
              <w:rPr>
                <w:rFonts w:ascii="Cambria" w:hAnsi="Cambria"/>
                <w:sz w:val="20"/>
                <w:szCs w:val="20"/>
              </w:rPr>
              <w:t>Chalmers, D. at al., European Union Law, Second edition, Cambdige University Press,  2010, Ch. 2.5</w:t>
            </w:r>
          </w:p>
        </w:tc>
        <w:tc>
          <w:tcPr>
            <w:tcW w:w="3420" w:type="dxa"/>
            <w:vAlign w:val="center"/>
          </w:tcPr>
          <w:p w14:paraId="121CD074" w14:textId="3C864D46"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7675BDD1" w14:textId="074F457C" w:rsidR="00E530BD" w:rsidRPr="00C01652" w:rsidRDefault="00E530BD" w:rsidP="00E530BD">
            <w:pPr>
              <w:spacing w:after="0" w:line="240" w:lineRule="auto"/>
              <w:rPr>
                <w:rFonts w:ascii="Cambria" w:hAnsi="Cambria" w:cstheme="minorHAnsi"/>
                <w:sz w:val="20"/>
                <w:szCs w:val="20"/>
              </w:rPr>
            </w:pPr>
          </w:p>
        </w:tc>
      </w:tr>
      <w:tr w:rsidR="00E530BD" w:rsidRPr="002A3A93" w14:paraId="79DFF682" w14:textId="77777777" w:rsidTr="007730F9">
        <w:tc>
          <w:tcPr>
            <w:tcW w:w="3779" w:type="dxa"/>
            <w:vAlign w:val="center"/>
          </w:tcPr>
          <w:p w14:paraId="4B149288" w14:textId="77777777" w:rsidR="00E530BD" w:rsidRPr="00C01652" w:rsidRDefault="00E530BD" w:rsidP="00E530BD">
            <w:pPr>
              <w:pStyle w:val="isselectedend"/>
              <w:rPr>
                <w:rFonts w:ascii="Cambria" w:hAnsi="Cambria"/>
                <w:color w:val="000000"/>
                <w:sz w:val="20"/>
                <w:szCs w:val="20"/>
              </w:rPr>
            </w:pPr>
            <w:r w:rsidRPr="00C01652">
              <w:rPr>
                <w:rFonts w:ascii="Cambria" w:hAnsi="Cambria"/>
                <w:b/>
                <w:sz w:val="20"/>
                <w:szCs w:val="20"/>
              </w:rPr>
              <w:t xml:space="preserve">9. </w:t>
            </w:r>
            <w:r w:rsidRPr="00C01652">
              <w:rPr>
                <w:rStyle w:val="Strong"/>
                <w:rFonts w:ascii="Cambria" w:hAnsi="Cambria"/>
                <w:color w:val="000000"/>
                <w:sz w:val="20"/>
                <w:szCs w:val="20"/>
              </w:rPr>
              <w:t>European Institutions 2: The European Council and the Council of the European Union</w:t>
            </w:r>
          </w:p>
          <w:p w14:paraId="01633F0F" w14:textId="277CE178"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The nature and functions of the European Council and the Council of the European Union. The role of Member States in the EU.</w:t>
            </w:r>
          </w:p>
          <w:p w14:paraId="01C67BA2" w14:textId="77777777" w:rsidR="00E530BD" w:rsidRPr="00C01652" w:rsidRDefault="00E530BD" w:rsidP="00E530BD">
            <w:pPr>
              <w:spacing w:after="0" w:line="240" w:lineRule="auto"/>
              <w:rPr>
                <w:rFonts w:ascii="Cambria" w:hAnsi="Cambria"/>
                <w:sz w:val="20"/>
                <w:szCs w:val="20"/>
              </w:rPr>
            </w:pPr>
            <w:r w:rsidRPr="00C01652">
              <w:rPr>
                <w:rFonts w:ascii="Cambria" w:hAnsi="Cambria"/>
                <w:sz w:val="20"/>
                <w:szCs w:val="20"/>
              </w:rPr>
              <w:t>Nugent, N. The Government and Politics of the European Union, Bloomsbury Publishing, 2017, Ch.10,11</w:t>
            </w:r>
          </w:p>
          <w:p w14:paraId="3681A595" w14:textId="77777777" w:rsidR="00E530BD" w:rsidRPr="00C01652" w:rsidRDefault="00E530BD" w:rsidP="00E530BD">
            <w:pPr>
              <w:spacing w:after="0" w:line="240" w:lineRule="auto"/>
              <w:rPr>
                <w:rFonts w:ascii="Cambria" w:hAnsi="Cambria"/>
                <w:sz w:val="20"/>
                <w:szCs w:val="20"/>
              </w:rPr>
            </w:pPr>
          </w:p>
          <w:p w14:paraId="49F93CC4" w14:textId="26BA13A8" w:rsidR="00E530BD" w:rsidRPr="00C01652" w:rsidRDefault="00E530BD" w:rsidP="00E530BD">
            <w:pPr>
              <w:autoSpaceDE w:val="0"/>
              <w:autoSpaceDN w:val="0"/>
              <w:adjustRightInd w:val="0"/>
              <w:spacing w:after="0" w:line="240" w:lineRule="auto"/>
              <w:rPr>
                <w:rFonts w:ascii="Cambria" w:hAnsi="Cambria" w:cstheme="minorHAnsi"/>
                <w:sz w:val="20"/>
                <w:szCs w:val="20"/>
                <w:lang w:eastAsia="en-GB"/>
              </w:rPr>
            </w:pPr>
            <w:r w:rsidRPr="00C01652">
              <w:rPr>
                <w:rFonts w:ascii="Cambria" w:hAnsi="Cambria"/>
                <w:sz w:val="20"/>
                <w:szCs w:val="20"/>
              </w:rPr>
              <w:t>Chalmers, D. at al., European Union Law, Second edition, Cambdige University Press,  2010, Ch. 2.3, 2.4</w:t>
            </w:r>
          </w:p>
        </w:tc>
        <w:tc>
          <w:tcPr>
            <w:tcW w:w="3420" w:type="dxa"/>
            <w:vAlign w:val="center"/>
          </w:tcPr>
          <w:p w14:paraId="799D0B42" w14:textId="563CF3CB"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18C5DDF0" w14:textId="7B6197BF" w:rsidR="00E530BD" w:rsidRPr="00C01652" w:rsidRDefault="00E530BD" w:rsidP="00E530BD">
            <w:pPr>
              <w:spacing w:after="0" w:line="240" w:lineRule="auto"/>
              <w:rPr>
                <w:rFonts w:ascii="Cambria" w:hAnsi="Cambria" w:cstheme="minorHAnsi"/>
                <w:sz w:val="20"/>
                <w:szCs w:val="20"/>
              </w:rPr>
            </w:pPr>
          </w:p>
        </w:tc>
      </w:tr>
      <w:tr w:rsidR="00E530BD" w:rsidRPr="002A3A93" w14:paraId="5D1559A9" w14:textId="77777777" w:rsidTr="007730F9">
        <w:tc>
          <w:tcPr>
            <w:tcW w:w="3779" w:type="dxa"/>
            <w:vAlign w:val="center"/>
          </w:tcPr>
          <w:p w14:paraId="7D80EED5" w14:textId="77777777" w:rsidR="00E530BD" w:rsidRPr="00C01652" w:rsidRDefault="00E530BD" w:rsidP="00E530BD">
            <w:pPr>
              <w:pStyle w:val="isselectedend"/>
              <w:rPr>
                <w:rFonts w:ascii="Cambria" w:hAnsi="Cambria"/>
                <w:color w:val="000000"/>
                <w:sz w:val="20"/>
                <w:szCs w:val="20"/>
              </w:rPr>
            </w:pPr>
            <w:r w:rsidRPr="00C01652">
              <w:rPr>
                <w:rFonts w:ascii="Cambria" w:hAnsi="Cambria"/>
                <w:b/>
                <w:sz w:val="20"/>
                <w:szCs w:val="20"/>
              </w:rPr>
              <w:t xml:space="preserve">10. </w:t>
            </w:r>
            <w:r w:rsidRPr="00C01652">
              <w:rPr>
                <w:rStyle w:val="Strong"/>
                <w:rFonts w:ascii="Cambria" w:hAnsi="Cambria"/>
                <w:color w:val="000000"/>
                <w:sz w:val="20"/>
                <w:szCs w:val="20"/>
              </w:rPr>
              <w:t>European Institutions 3: The European Commission</w:t>
            </w:r>
          </w:p>
          <w:p w14:paraId="1D69534B" w14:textId="027BBDCF"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The nature and functions of the European Commission. The limits and opportunities of executive leadership in the EU.</w:t>
            </w:r>
          </w:p>
          <w:p w14:paraId="47BEA284" w14:textId="77777777" w:rsidR="00E530BD" w:rsidRPr="00C01652" w:rsidRDefault="00E530BD" w:rsidP="00E530BD">
            <w:pPr>
              <w:spacing w:after="0" w:line="240" w:lineRule="auto"/>
              <w:rPr>
                <w:rFonts w:ascii="Cambria" w:hAnsi="Cambria"/>
                <w:sz w:val="20"/>
                <w:szCs w:val="20"/>
              </w:rPr>
            </w:pPr>
            <w:r w:rsidRPr="00C01652">
              <w:rPr>
                <w:rFonts w:ascii="Cambria" w:hAnsi="Cambria"/>
                <w:sz w:val="20"/>
                <w:szCs w:val="20"/>
              </w:rPr>
              <w:t>Nugent, N. The Government and Politics of the European Union, Bloomsbury Publishing, 2017, Ch.9</w:t>
            </w:r>
          </w:p>
          <w:p w14:paraId="776D8348" w14:textId="77777777" w:rsidR="00E530BD" w:rsidRPr="00C01652" w:rsidRDefault="00E530BD" w:rsidP="00E530BD">
            <w:pPr>
              <w:spacing w:after="0" w:line="240" w:lineRule="auto"/>
              <w:rPr>
                <w:rFonts w:ascii="Cambria" w:hAnsi="Cambria"/>
                <w:sz w:val="20"/>
                <w:szCs w:val="20"/>
              </w:rPr>
            </w:pPr>
          </w:p>
          <w:p w14:paraId="785BB59F" w14:textId="3F525F7C" w:rsidR="00E530BD" w:rsidRPr="00C01652" w:rsidRDefault="00E530BD" w:rsidP="00E530BD">
            <w:pPr>
              <w:spacing w:after="0" w:line="240" w:lineRule="auto"/>
              <w:rPr>
                <w:rFonts w:ascii="Cambria" w:hAnsi="Cambria" w:cstheme="minorHAnsi"/>
                <w:b/>
                <w:sz w:val="20"/>
                <w:szCs w:val="20"/>
              </w:rPr>
            </w:pPr>
            <w:r w:rsidRPr="00C01652">
              <w:rPr>
                <w:rFonts w:ascii="Cambria" w:hAnsi="Cambria"/>
                <w:sz w:val="20"/>
                <w:szCs w:val="20"/>
              </w:rPr>
              <w:lastRenderedPageBreak/>
              <w:t>Chalmers, D. at al., European Union Law, Second edition, Cambdige University Press,  2010, Ch. 2.2</w:t>
            </w:r>
          </w:p>
        </w:tc>
        <w:tc>
          <w:tcPr>
            <w:tcW w:w="3420" w:type="dxa"/>
            <w:vAlign w:val="center"/>
          </w:tcPr>
          <w:p w14:paraId="71539A82" w14:textId="3B1C4E6E"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lastRenderedPageBreak/>
              <w:t>Interactive presentation</w:t>
            </w:r>
          </w:p>
        </w:tc>
        <w:tc>
          <w:tcPr>
            <w:tcW w:w="3292" w:type="dxa"/>
            <w:vAlign w:val="center"/>
          </w:tcPr>
          <w:p w14:paraId="2F5B4FE9" w14:textId="47F9B89D" w:rsidR="00E530BD" w:rsidRPr="00C01652" w:rsidRDefault="00E530BD" w:rsidP="00E530BD">
            <w:pPr>
              <w:spacing w:after="0" w:line="240" w:lineRule="auto"/>
              <w:rPr>
                <w:rFonts w:ascii="Cambria" w:hAnsi="Cambria" w:cstheme="minorHAnsi"/>
                <w:sz w:val="20"/>
                <w:szCs w:val="20"/>
              </w:rPr>
            </w:pPr>
          </w:p>
        </w:tc>
      </w:tr>
      <w:tr w:rsidR="00E530BD" w:rsidRPr="002A3A93" w14:paraId="3D29B5E2" w14:textId="77777777" w:rsidTr="007730F9">
        <w:tc>
          <w:tcPr>
            <w:tcW w:w="3779" w:type="dxa"/>
            <w:vAlign w:val="center"/>
          </w:tcPr>
          <w:p w14:paraId="4D17BE03" w14:textId="77777777" w:rsidR="00E530BD" w:rsidRPr="00C01652" w:rsidRDefault="00E530BD" w:rsidP="00E530BD">
            <w:pPr>
              <w:pStyle w:val="isselectedend"/>
              <w:rPr>
                <w:rFonts w:ascii="Cambria" w:hAnsi="Cambria"/>
                <w:color w:val="000000"/>
                <w:sz w:val="20"/>
                <w:szCs w:val="20"/>
              </w:rPr>
            </w:pPr>
            <w:r w:rsidRPr="00C01652">
              <w:rPr>
                <w:rFonts w:ascii="Cambria" w:hAnsi="Cambria"/>
                <w:b/>
                <w:sz w:val="20"/>
                <w:szCs w:val="20"/>
              </w:rPr>
              <w:t xml:space="preserve">11. </w:t>
            </w:r>
            <w:r w:rsidRPr="00C01652">
              <w:rPr>
                <w:rStyle w:val="Strong"/>
                <w:rFonts w:ascii="Cambria" w:hAnsi="Cambria"/>
                <w:color w:val="000000"/>
                <w:sz w:val="20"/>
                <w:szCs w:val="20"/>
              </w:rPr>
              <w:t>European Politics and Questions of European Democracy: Democratic Backsliding and Citizen Disengagement</w:t>
            </w:r>
          </w:p>
          <w:p w14:paraId="29BE865F" w14:textId="3F5BB223" w:rsidR="00E530BD" w:rsidRPr="00C01652" w:rsidRDefault="00E530BD" w:rsidP="00E530BD">
            <w:pPr>
              <w:pStyle w:val="NormalWeb"/>
              <w:rPr>
                <w:rFonts w:ascii="Cambria" w:hAnsi="Cambria"/>
                <w:color w:val="000000"/>
                <w:sz w:val="20"/>
                <w:szCs w:val="20"/>
              </w:rPr>
            </w:pPr>
            <w:r w:rsidRPr="00C01652">
              <w:rPr>
                <w:rFonts w:ascii="Cambria" w:hAnsi="Cambria"/>
                <w:color w:val="000000"/>
                <w:sz w:val="20"/>
                <w:szCs w:val="20"/>
              </w:rPr>
              <w:t>Voter engagement, legitimacy, and freedoms in the EU; democratic backsliding.</w:t>
            </w:r>
          </w:p>
          <w:p w14:paraId="1780C053" w14:textId="5EE92E56" w:rsidR="00E530BD" w:rsidRPr="00C01652" w:rsidRDefault="00E530BD" w:rsidP="00E530BD">
            <w:pPr>
              <w:autoSpaceDE w:val="0"/>
              <w:autoSpaceDN w:val="0"/>
              <w:adjustRightInd w:val="0"/>
              <w:spacing w:after="0" w:line="240" w:lineRule="auto"/>
              <w:rPr>
                <w:rFonts w:ascii="Cambria" w:hAnsi="Cambria" w:cstheme="minorHAnsi"/>
                <w:sz w:val="20"/>
                <w:szCs w:val="20"/>
                <w:lang w:eastAsia="en-GB"/>
              </w:rPr>
            </w:pPr>
            <w:r w:rsidRPr="00C01652">
              <w:rPr>
                <w:rFonts w:ascii="Cambria" w:hAnsi="Cambria"/>
                <w:sz w:val="20"/>
                <w:szCs w:val="20"/>
              </w:rPr>
              <w:t>Biscop, S. et al (eds). The EU and the European Security Strategy. Forging a Global Europe, Routledge, 2008, Ch. 39</w:t>
            </w:r>
          </w:p>
        </w:tc>
        <w:tc>
          <w:tcPr>
            <w:tcW w:w="3420" w:type="dxa"/>
            <w:vAlign w:val="center"/>
          </w:tcPr>
          <w:p w14:paraId="415EEA12" w14:textId="04AE8523"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71469E09" w14:textId="36365147" w:rsidR="00E530BD" w:rsidRPr="00C01652" w:rsidRDefault="00E530BD" w:rsidP="00E530BD">
            <w:pPr>
              <w:spacing w:after="0" w:line="240" w:lineRule="auto"/>
              <w:rPr>
                <w:rFonts w:ascii="Cambria" w:hAnsi="Cambria" w:cstheme="minorHAnsi"/>
                <w:sz w:val="20"/>
                <w:szCs w:val="20"/>
              </w:rPr>
            </w:pPr>
          </w:p>
        </w:tc>
      </w:tr>
      <w:tr w:rsidR="00E530BD" w:rsidRPr="002A3A93" w14:paraId="345C3A33" w14:textId="77777777" w:rsidTr="007730F9">
        <w:tc>
          <w:tcPr>
            <w:tcW w:w="3779" w:type="dxa"/>
            <w:vAlign w:val="center"/>
          </w:tcPr>
          <w:p w14:paraId="336A9FD8" w14:textId="77777777" w:rsidR="00C01652" w:rsidRPr="00C01652" w:rsidRDefault="00E530BD" w:rsidP="00C01652">
            <w:pPr>
              <w:pStyle w:val="isselectedend"/>
              <w:rPr>
                <w:rFonts w:ascii="Cambria" w:hAnsi="Cambria"/>
                <w:color w:val="000000"/>
                <w:sz w:val="20"/>
                <w:szCs w:val="20"/>
              </w:rPr>
            </w:pPr>
            <w:r w:rsidRPr="00C01652">
              <w:rPr>
                <w:rFonts w:ascii="Cambria" w:hAnsi="Cambria"/>
                <w:b/>
                <w:sz w:val="20"/>
                <w:szCs w:val="20"/>
              </w:rPr>
              <w:t xml:space="preserve">12. </w:t>
            </w:r>
            <w:r w:rsidR="00C01652" w:rsidRPr="00C01652">
              <w:rPr>
                <w:rStyle w:val="Strong"/>
                <w:rFonts w:ascii="Cambria" w:hAnsi="Cambria"/>
                <w:color w:val="000000"/>
                <w:sz w:val="20"/>
                <w:szCs w:val="20"/>
              </w:rPr>
              <w:t>European Policies and the Complex Decision-Making Process</w:t>
            </w:r>
          </w:p>
          <w:p w14:paraId="6D1F64EE" w14:textId="2A63F997" w:rsidR="00E530BD" w:rsidRPr="00C01652" w:rsidRDefault="00C01652" w:rsidP="00C01652">
            <w:pPr>
              <w:pStyle w:val="NormalWeb"/>
              <w:rPr>
                <w:rFonts w:ascii="Cambria" w:hAnsi="Cambria"/>
                <w:color w:val="000000"/>
                <w:sz w:val="20"/>
                <w:szCs w:val="20"/>
              </w:rPr>
            </w:pPr>
            <w:r w:rsidRPr="00C01652">
              <w:rPr>
                <w:rFonts w:ascii="Cambria" w:hAnsi="Cambria"/>
                <w:color w:val="000000"/>
                <w:sz w:val="20"/>
                <w:szCs w:val="20"/>
              </w:rPr>
              <w:t>Political actors and processes; market policies; functional policies; sectoral policies; macroeconomic and financial policies; foreign policy; the EU budget.</w:t>
            </w:r>
          </w:p>
          <w:p w14:paraId="686FFDC3" w14:textId="77777777" w:rsidR="00E530BD" w:rsidRPr="00C01652" w:rsidRDefault="00E530BD" w:rsidP="00E530BD">
            <w:pPr>
              <w:pStyle w:val="Heading1"/>
              <w:keepNext w:val="0"/>
              <w:keepLines w:val="0"/>
              <w:spacing w:before="0" w:after="0" w:line="240" w:lineRule="auto"/>
              <w:rPr>
                <w:rFonts w:ascii="Cambria" w:eastAsia="Times New Roman" w:hAnsi="Cambria" w:cs="Times New Roman"/>
                <w:bCs/>
                <w:color w:val="auto"/>
                <w:sz w:val="20"/>
                <w:szCs w:val="20"/>
              </w:rPr>
            </w:pPr>
            <w:r w:rsidRPr="00C01652">
              <w:rPr>
                <w:rFonts w:ascii="Cambria" w:eastAsia="Times New Roman" w:hAnsi="Cambria" w:cs="Times New Roman"/>
                <w:bCs/>
                <w:color w:val="auto"/>
                <w:sz w:val="20"/>
                <w:szCs w:val="20"/>
              </w:rPr>
              <w:t>Lectură recomandată:</w:t>
            </w:r>
          </w:p>
          <w:p w14:paraId="2B67130F" w14:textId="77777777" w:rsidR="00E530BD" w:rsidRPr="00C01652" w:rsidRDefault="00E530BD" w:rsidP="00E530BD">
            <w:pPr>
              <w:spacing w:after="0" w:line="240" w:lineRule="auto"/>
              <w:rPr>
                <w:rFonts w:ascii="Cambria" w:hAnsi="Cambria"/>
                <w:sz w:val="20"/>
                <w:szCs w:val="20"/>
              </w:rPr>
            </w:pPr>
            <w:r w:rsidRPr="00C01652">
              <w:rPr>
                <w:rFonts w:ascii="Cambria" w:hAnsi="Cambria"/>
                <w:sz w:val="20"/>
                <w:szCs w:val="20"/>
              </w:rPr>
              <w:t>Nugent, N. The Government and Politics of the European Union, Bloomsbury Publishing, 2017, Part IV</w:t>
            </w:r>
          </w:p>
          <w:p w14:paraId="2C52EB89" w14:textId="77777777" w:rsidR="00E530BD" w:rsidRPr="00C01652" w:rsidRDefault="00E530BD" w:rsidP="00E530BD">
            <w:pPr>
              <w:spacing w:after="0" w:line="240" w:lineRule="auto"/>
              <w:rPr>
                <w:rFonts w:ascii="Cambria" w:hAnsi="Cambria"/>
                <w:sz w:val="20"/>
                <w:szCs w:val="20"/>
              </w:rPr>
            </w:pPr>
          </w:p>
          <w:p w14:paraId="0422AC62" w14:textId="77777777" w:rsidR="00E530BD" w:rsidRPr="00C01652" w:rsidRDefault="00E530BD" w:rsidP="00E530BD">
            <w:pPr>
              <w:spacing w:after="0" w:line="240" w:lineRule="auto"/>
              <w:rPr>
                <w:rFonts w:ascii="Cambria" w:hAnsi="Cambria"/>
                <w:sz w:val="20"/>
                <w:szCs w:val="20"/>
              </w:rPr>
            </w:pPr>
            <w:r w:rsidRPr="00C01652">
              <w:rPr>
                <w:rFonts w:ascii="Cambria" w:hAnsi="Cambria"/>
                <w:sz w:val="20"/>
                <w:szCs w:val="20"/>
              </w:rPr>
              <w:t>Chalmers, D. at al., European Union Law, Second edition, Cambdige University Press,  2010, Ch. 3, 9.</w:t>
            </w:r>
          </w:p>
          <w:p w14:paraId="6A6DD0E6" w14:textId="77777777" w:rsidR="00E530BD" w:rsidRPr="00C01652" w:rsidRDefault="00E530BD" w:rsidP="00E530BD">
            <w:pPr>
              <w:spacing w:after="0" w:line="240" w:lineRule="auto"/>
              <w:rPr>
                <w:rFonts w:ascii="Cambria" w:hAnsi="Cambria" w:cstheme="minorHAnsi"/>
                <w:sz w:val="20"/>
                <w:szCs w:val="20"/>
                <w:lang w:eastAsia="en-GB"/>
              </w:rPr>
            </w:pPr>
          </w:p>
        </w:tc>
        <w:tc>
          <w:tcPr>
            <w:tcW w:w="3420" w:type="dxa"/>
            <w:vAlign w:val="center"/>
          </w:tcPr>
          <w:p w14:paraId="11F3F075" w14:textId="084F3ECB" w:rsidR="00E530BD" w:rsidRPr="00C01652" w:rsidRDefault="00C01652" w:rsidP="00E530BD">
            <w:pPr>
              <w:spacing w:after="0" w:line="240" w:lineRule="auto"/>
              <w:rPr>
                <w:rFonts w:ascii="Cambria" w:hAnsi="Cambria" w:cstheme="minorHAnsi"/>
                <w:sz w:val="20"/>
                <w:szCs w:val="20"/>
              </w:rPr>
            </w:pPr>
            <w:r w:rsidRPr="00C01652">
              <w:rPr>
                <w:rFonts w:ascii="Cambria" w:hAnsi="Cambria"/>
                <w:sz w:val="20"/>
                <w:szCs w:val="20"/>
              </w:rPr>
              <w:t>Interactive presentation</w:t>
            </w:r>
          </w:p>
        </w:tc>
        <w:tc>
          <w:tcPr>
            <w:tcW w:w="3292" w:type="dxa"/>
            <w:vAlign w:val="center"/>
          </w:tcPr>
          <w:p w14:paraId="565C775E" w14:textId="6328B9AD" w:rsidR="00E530BD" w:rsidRPr="00C01652" w:rsidRDefault="00E530BD" w:rsidP="00E530BD">
            <w:pPr>
              <w:spacing w:after="0" w:line="240" w:lineRule="auto"/>
              <w:rPr>
                <w:rFonts w:ascii="Cambria" w:hAnsi="Cambria" w:cstheme="minorHAnsi"/>
                <w:sz w:val="20"/>
                <w:szCs w:val="20"/>
              </w:rPr>
            </w:pPr>
          </w:p>
        </w:tc>
      </w:tr>
      <w:tr w:rsidR="003F659E" w:rsidRPr="00C02345" w14:paraId="4E3496E2" w14:textId="77777777" w:rsidTr="007730F9">
        <w:tc>
          <w:tcPr>
            <w:tcW w:w="10491" w:type="dxa"/>
            <w:gridSpan w:val="3"/>
            <w:vAlign w:val="center"/>
          </w:tcPr>
          <w:p w14:paraId="51318354" w14:textId="77777777" w:rsidR="00000000" w:rsidRPr="00C01652" w:rsidRDefault="00000000" w:rsidP="00EE0E87">
            <w:pPr>
              <w:spacing w:after="0" w:line="240" w:lineRule="auto"/>
              <w:rPr>
                <w:rFonts w:ascii="Cambria" w:hAnsi="Cambria" w:cstheme="minorHAnsi"/>
                <w:sz w:val="20"/>
                <w:szCs w:val="20"/>
              </w:rPr>
            </w:pPr>
            <w:r w:rsidRPr="00C01652">
              <w:rPr>
                <w:rFonts w:ascii="Cambria" w:hAnsi="Cambria" w:cstheme="minorHAnsi"/>
                <w:sz w:val="20"/>
                <w:szCs w:val="20"/>
              </w:rPr>
              <w:t>Bibliography</w:t>
            </w:r>
          </w:p>
          <w:p w14:paraId="4CEC7858" w14:textId="77777777" w:rsidR="00E530BD" w:rsidRPr="00C01652" w:rsidRDefault="00E530BD" w:rsidP="00EE0E87">
            <w:pPr>
              <w:spacing w:after="0" w:line="240" w:lineRule="auto"/>
              <w:rPr>
                <w:rFonts w:ascii="Cambria" w:hAnsi="Cambria" w:cstheme="minorHAnsi"/>
                <w:sz w:val="20"/>
                <w:szCs w:val="20"/>
              </w:rPr>
            </w:pPr>
          </w:p>
          <w:p w14:paraId="63732BF8" w14:textId="77777777" w:rsidR="00E530BD" w:rsidRPr="00C01652" w:rsidRDefault="00E530BD" w:rsidP="00E530BD">
            <w:pPr>
              <w:rPr>
                <w:rFonts w:ascii="Cambria" w:hAnsi="Cambria"/>
                <w:sz w:val="20"/>
                <w:szCs w:val="20"/>
                <w:lang w:val="en-RO"/>
              </w:rPr>
            </w:pPr>
            <w:r w:rsidRPr="00C01652">
              <w:rPr>
                <w:rFonts w:ascii="Cambria" w:hAnsi="Cambria"/>
                <w:sz w:val="20"/>
                <w:szCs w:val="20"/>
              </w:rPr>
              <w:t>Biscop, S. (Ed.). (2008).</w:t>
            </w:r>
            <w:r w:rsidRPr="00C01652">
              <w:rPr>
                <w:rStyle w:val="apple-converted-space"/>
                <w:rFonts w:ascii="Cambria" w:hAnsi="Cambria"/>
                <w:sz w:val="20"/>
                <w:szCs w:val="20"/>
              </w:rPr>
              <w:t> </w:t>
            </w:r>
            <w:r w:rsidRPr="00C01652">
              <w:rPr>
                <w:rStyle w:val="Emphasis"/>
                <w:rFonts w:ascii="Cambria" w:hAnsi="Cambria"/>
                <w:sz w:val="20"/>
                <w:szCs w:val="20"/>
              </w:rPr>
              <w:t>The EU and the European security strategy: Forging a global Europe</w:t>
            </w:r>
            <w:r w:rsidRPr="00C01652">
              <w:rPr>
                <w:rFonts w:ascii="Cambria" w:hAnsi="Cambria"/>
                <w:sz w:val="20"/>
                <w:szCs w:val="20"/>
              </w:rPr>
              <w:t>. Routledge.</w:t>
            </w:r>
          </w:p>
          <w:p w14:paraId="546AB0F2" w14:textId="77777777" w:rsidR="00E530BD" w:rsidRPr="00C01652" w:rsidRDefault="00E530BD" w:rsidP="00E530BD">
            <w:pPr>
              <w:rPr>
                <w:rFonts w:ascii="Cambria" w:hAnsi="Cambria"/>
                <w:sz w:val="20"/>
                <w:szCs w:val="20"/>
              </w:rPr>
            </w:pPr>
            <w:r w:rsidRPr="00C01652">
              <w:rPr>
                <w:rFonts w:ascii="Cambria" w:hAnsi="Cambria"/>
                <w:sz w:val="20"/>
                <w:szCs w:val="20"/>
              </w:rPr>
              <w:t>Cameron, F. (2007).</w:t>
            </w:r>
            <w:r w:rsidRPr="00C01652">
              <w:rPr>
                <w:rStyle w:val="apple-converted-space"/>
                <w:rFonts w:ascii="Cambria" w:hAnsi="Cambria"/>
                <w:sz w:val="20"/>
                <w:szCs w:val="20"/>
              </w:rPr>
              <w:t> </w:t>
            </w:r>
            <w:r w:rsidRPr="00C01652">
              <w:rPr>
                <w:rStyle w:val="Emphasis"/>
                <w:rFonts w:ascii="Cambria" w:hAnsi="Cambria"/>
                <w:sz w:val="20"/>
                <w:szCs w:val="20"/>
              </w:rPr>
              <w:t>An introduction to European foreign policy</w:t>
            </w:r>
            <w:r w:rsidRPr="00C01652">
              <w:rPr>
                <w:rFonts w:ascii="Cambria" w:hAnsi="Cambria"/>
                <w:sz w:val="20"/>
                <w:szCs w:val="20"/>
              </w:rPr>
              <w:t>. Routledge.</w:t>
            </w:r>
          </w:p>
          <w:p w14:paraId="1C130451" w14:textId="77777777" w:rsidR="00E530BD" w:rsidRPr="00C01652" w:rsidRDefault="00E530BD" w:rsidP="00E530BD">
            <w:pPr>
              <w:rPr>
                <w:rFonts w:ascii="Cambria" w:hAnsi="Cambria"/>
                <w:sz w:val="20"/>
                <w:szCs w:val="20"/>
              </w:rPr>
            </w:pPr>
            <w:r w:rsidRPr="00C01652">
              <w:rPr>
                <w:rFonts w:ascii="Cambria" w:hAnsi="Cambria"/>
                <w:sz w:val="20"/>
                <w:szCs w:val="20"/>
              </w:rPr>
              <w:t>Chalmers, D., Davies, G., &amp; Monti, G. (2010).</w:t>
            </w:r>
            <w:r w:rsidRPr="00C01652">
              <w:rPr>
                <w:rStyle w:val="apple-converted-space"/>
                <w:rFonts w:ascii="Cambria" w:hAnsi="Cambria"/>
                <w:sz w:val="20"/>
                <w:szCs w:val="20"/>
              </w:rPr>
              <w:t> </w:t>
            </w:r>
            <w:r w:rsidRPr="00C01652">
              <w:rPr>
                <w:rStyle w:val="Emphasis"/>
                <w:rFonts w:ascii="Cambria" w:hAnsi="Cambria"/>
                <w:sz w:val="20"/>
                <w:szCs w:val="20"/>
              </w:rPr>
              <w:t>European Union law: Text and materials</w:t>
            </w:r>
            <w:r w:rsidRPr="00C01652">
              <w:rPr>
                <w:rStyle w:val="apple-converted-space"/>
                <w:rFonts w:ascii="Cambria" w:hAnsi="Cambria"/>
                <w:sz w:val="20"/>
                <w:szCs w:val="20"/>
              </w:rPr>
              <w:t> </w:t>
            </w:r>
            <w:r w:rsidRPr="00C01652">
              <w:rPr>
                <w:rFonts w:ascii="Cambria" w:hAnsi="Cambria"/>
                <w:sz w:val="20"/>
                <w:szCs w:val="20"/>
              </w:rPr>
              <w:t>(2nd ed.). Cambridge University Press.</w:t>
            </w:r>
          </w:p>
          <w:p w14:paraId="20994715" w14:textId="77777777" w:rsidR="00E530BD" w:rsidRPr="00C01652" w:rsidRDefault="00E530BD" w:rsidP="00E530BD">
            <w:pPr>
              <w:spacing w:after="0" w:line="240" w:lineRule="auto"/>
              <w:jc w:val="both"/>
              <w:rPr>
                <w:rFonts w:ascii="Cambria" w:hAnsi="Cambria"/>
                <w:sz w:val="20"/>
                <w:szCs w:val="20"/>
              </w:rPr>
            </w:pPr>
            <w:r w:rsidRPr="00C01652">
              <w:rPr>
                <w:rFonts w:ascii="Cambria" w:hAnsi="Cambria"/>
                <w:sz w:val="20"/>
                <w:szCs w:val="20"/>
              </w:rPr>
              <w:t>Nugent, N. (2017).</w:t>
            </w:r>
            <w:r w:rsidRPr="00C01652">
              <w:rPr>
                <w:rStyle w:val="apple-converted-space"/>
                <w:rFonts w:ascii="Cambria" w:hAnsi="Cambria"/>
                <w:sz w:val="20"/>
                <w:szCs w:val="20"/>
              </w:rPr>
              <w:t> </w:t>
            </w:r>
            <w:r w:rsidRPr="00C01652">
              <w:rPr>
                <w:rStyle w:val="Emphasis"/>
                <w:rFonts w:ascii="Cambria" w:hAnsi="Cambria"/>
                <w:sz w:val="20"/>
                <w:szCs w:val="20"/>
              </w:rPr>
              <w:t>The government and politics of the European Union</w:t>
            </w:r>
            <w:r w:rsidRPr="00C01652">
              <w:rPr>
                <w:rFonts w:ascii="Cambria" w:hAnsi="Cambria"/>
                <w:sz w:val="20"/>
                <w:szCs w:val="20"/>
              </w:rPr>
              <w:t>. Bloomsbury Publishing.</w:t>
            </w:r>
          </w:p>
          <w:p w14:paraId="4236DFCD" w14:textId="77777777" w:rsidR="00000000" w:rsidRPr="00C01652" w:rsidRDefault="00000000" w:rsidP="00EE0E87">
            <w:pPr>
              <w:spacing w:after="0" w:line="240" w:lineRule="auto"/>
              <w:ind w:left="720" w:hanging="720"/>
              <w:rPr>
                <w:rFonts w:ascii="Cambria" w:hAnsi="Cambria" w:cstheme="minorHAnsi"/>
                <w:sz w:val="20"/>
                <w:szCs w:val="20"/>
              </w:rPr>
            </w:pPr>
          </w:p>
        </w:tc>
      </w:tr>
      <w:tr w:rsidR="008C28C6" w:rsidRPr="00C02345" w14:paraId="7E870FC1" w14:textId="77777777" w:rsidTr="007730F9">
        <w:tc>
          <w:tcPr>
            <w:tcW w:w="3779" w:type="dxa"/>
            <w:vAlign w:val="center"/>
          </w:tcPr>
          <w:p w14:paraId="528D4D05"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8.2. Seminar/ laboratory</w:t>
            </w:r>
          </w:p>
        </w:tc>
        <w:tc>
          <w:tcPr>
            <w:tcW w:w="3420" w:type="dxa"/>
            <w:vAlign w:val="center"/>
          </w:tcPr>
          <w:p w14:paraId="11D08865"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080D3A6D" w14:textId="77777777"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E530BD" w:rsidRPr="002A3A93" w14:paraId="03079D7D" w14:textId="77777777" w:rsidTr="007730F9">
        <w:tc>
          <w:tcPr>
            <w:tcW w:w="3779" w:type="dxa"/>
            <w:vAlign w:val="center"/>
          </w:tcPr>
          <w:p w14:paraId="1E746D1B" w14:textId="5899D345" w:rsidR="00E530BD" w:rsidRPr="008E036D" w:rsidRDefault="00E530BD" w:rsidP="00E530BD">
            <w:pPr>
              <w:spacing w:after="0" w:line="240" w:lineRule="auto"/>
              <w:rPr>
                <w:rFonts w:cstheme="minorHAnsi"/>
                <w:b/>
                <w:bCs/>
              </w:rPr>
            </w:pPr>
            <w:r w:rsidRPr="00441A1B">
              <w:rPr>
                <w:rFonts w:ascii="Cambria" w:hAnsi="Cambria"/>
                <w:bCs/>
                <w:sz w:val="20"/>
                <w:szCs w:val="20"/>
                <w:u w:val="single"/>
              </w:rPr>
              <w:t xml:space="preserve">Seminarul 1: </w:t>
            </w:r>
            <w:r w:rsidR="00C01652">
              <w:rPr>
                <w:rFonts w:ascii="Cambria" w:hAnsi="Cambria"/>
                <w:bCs/>
                <w:sz w:val="20"/>
                <w:szCs w:val="20"/>
              </w:rPr>
              <w:t>Introduction</w:t>
            </w:r>
            <w:r w:rsidRPr="00441A1B">
              <w:rPr>
                <w:rFonts w:ascii="Cambria" w:hAnsi="Cambria"/>
                <w:bCs/>
                <w:sz w:val="20"/>
                <w:szCs w:val="20"/>
              </w:rPr>
              <w:t xml:space="preserve"> </w:t>
            </w:r>
          </w:p>
        </w:tc>
        <w:tc>
          <w:tcPr>
            <w:tcW w:w="3420" w:type="dxa"/>
            <w:vAlign w:val="center"/>
          </w:tcPr>
          <w:p w14:paraId="4136D2ED" w14:textId="2B170728" w:rsidR="00E530BD" w:rsidRPr="008E036D" w:rsidRDefault="00C01652" w:rsidP="00E530BD">
            <w:pPr>
              <w:spacing w:after="0" w:line="240" w:lineRule="auto"/>
              <w:rPr>
                <w:rFonts w:cstheme="minorHAnsi"/>
              </w:rPr>
            </w:pPr>
            <w:r>
              <w:rPr>
                <w:rFonts w:ascii="Cambria" w:hAnsi="Cambria"/>
                <w:sz w:val="20"/>
                <w:szCs w:val="20"/>
              </w:rPr>
              <w:t>Interactive presentation</w:t>
            </w:r>
          </w:p>
        </w:tc>
        <w:tc>
          <w:tcPr>
            <w:tcW w:w="3292" w:type="dxa"/>
            <w:vAlign w:val="center"/>
          </w:tcPr>
          <w:p w14:paraId="6F469D26" w14:textId="77777777" w:rsidR="00E530BD" w:rsidRPr="008E036D" w:rsidRDefault="00E530BD" w:rsidP="00E530BD">
            <w:pPr>
              <w:spacing w:after="0" w:line="240" w:lineRule="auto"/>
              <w:rPr>
                <w:rFonts w:cstheme="minorHAnsi"/>
              </w:rPr>
            </w:pPr>
          </w:p>
        </w:tc>
      </w:tr>
      <w:tr w:rsidR="00E530BD" w:rsidRPr="002A3A93" w14:paraId="3C1B4D8A" w14:textId="77777777" w:rsidTr="00AC12B9">
        <w:tc>
          <w:tcPr>
            <w:tcW w:w="3779" w:type="dxa"/>
          </w:tcPr>
          <w:p w14:paraId="32DAB662" w14:textId="555FBB63" w:rsidR="00E530BD" w:rsidRPr="00441A1B" w:rsidRDefault="00E530BD" w:rsidP="00E530BD">
            <w:pPr>
              <w:spacing w:after="0" w:line="240" w:lineRule="auto"/>
              <w:rPr>
                <w:rFonts w:ascii="Cambria" w:hAnsi="Cambria"/>
                <w:bCs/>
                <w:sz w:val="20"/>
                <w:szCs w:val="20"/>
              </w:rPr>
            </w:pPr>
            <w:r>
              <w:rPr>
                <w:rFonts w:ascii="Cambria" w:hAnsi="Cambria"/>
                <w:bCs/>
                <w:sz w:val="20"/>
                <w:szCs w:val="20"/>
                <w:u w:val="single"/>
              </w:rPr>
              <w:t>Seminarul 2:</w:t>
            </w:r>
            <w:r w:rsidRPr="00441A1B">
              <w:rPr>
                <w:rFonts w:ascii="Cambria" w:hAnsi="Cambria"/>
                <w:bCs/>
                <w:sz w:val="20"/>
                <w:szCs w:val="20"/>
              </w:rPr>
              <w:t xml:space="preserve">  </w:t>
            </w:r>
            <w:r w:rsidR="00C01652">
              <w:rPr>
                <w:rFonts w:ascii="Cambria" w:hAnsi="Cambria"/>
                <w:bCs/>
                <w:sz w:val="20"/>
                <w:szCs w:val="20"/>
              </w:rPr>
              <w:t>A European economic model</w:t>
            </w:r>
            <w:r w:rsidRPr="00441A1B">
              <w:rPr>
                <w:rFonts w:ascii="Cambria" w:hAnsi="Cambria"/>
                <w:bCs/>
                <w:sz w:val="20"/>
                <w:szCs w:val="20"/>
              </w:rPr>
              <w:t xml:space="preserve">: </w:t>
            </w:r>
            <w:r w:rsidR="00C01652">
              <w:rPr>
                <w:rFonts w:ascii="Cambria" w:hAnsi="Cambria"/>
                <w:bCs/>
                <w:sz w:val="20"/>
                <w:szCs w:val="20"/>
              </w:rPr>
              <w:t>a green and circular economy</w:t>
            </w:r>
          </w:p>
          <w:p w14:paraId="0B9393DA" w14:textId="77777777" w:rsidR="00E530BD" w:rsidRPr="00441A1B" w:rsidRDefault="00E530BD" w:rsidP="00E530BD">
            <w:pPr>
              <w:spacing w:after="0" w:line="240" w:lineRule="auto"/>
              <w:rPr>
                <w:rFonts w:ascii="Cambria" w:hAnsi="Cambria"/>
                <w:bCs/>
                <w:sz w:val="20"/>
                <w:szCs w:val="20"/>
              </w:rPr>
            </w:pPr>
          </w:p>
          <w:p w14:paraId="379BBD8B" w14:textId="77777777" w:rsidR="00E530BD" w:rsidRPr="00441A1B" w:rsidRDefault="00E530BD" w:rsidP="00E530BD">
            <w:pPr>
              <w:pStyle w:val="c-bibliographic-informationcitation"/>
              <w:spacing w:before="0" w:beforeAutospacing="0" w:after="240" w:afterAutospacing="0"/>
              <w:rPr>
                <w:rStyle w:val="Strong"/>
                <w:rFonts w:ascii="Cambria" w:hAnsi="Cambria"/>
                <w:b w:val="0"/>
                <w:color w:val="000000"/>
                <w:sz w:val="20"/>
                <w:szCs w:val="20"/>
              </w:rPr>
            </w:pPr>
            <w:r w:rsidRPr="00441A1B">
              <w:rPr>
                <w:rFonts w:ascii="Cambria" w:hAnsi="Cambria"/>
                <w:bCs/>
                <w:color w:val="000000"/>
                <w:sz w:val="20"/>
                <w:szCs w:val="20"/>
              </w:rPr>
              <w:t>Grabbe, H., &amp; Moffat, L. L. (2024, September 12).</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A European circular single market for economic security and competitiveness</w:t>
            </w:r>
            <w:r w:rsidRPr="00441A1B">
              <w:rPr>
                <w:rStyle w:val="apple-converted-space"/>
                <w:rFonts w:ascii="Cambria" w:hAnsi="Cambria"/>
                <w:bCs/>
                <w:color w:val="000000"/>
                <w:sz w:val="20"/>
                <w:szCs w:val="20"/>
              </w:rPr>
              <w:t> </w:t>
            </w:r>
            <w:r w:rsidRPr="00441A1B">
              <w:rPr>
                <w:rFonts w:ascii="Cambria" w:hAnsi="Cambria"/>
                <w:bCs/>
                <w:color w:val="000000"/>
                <w:sz w:val="20"/>
                <w:szCs w:val="20"/>
              </w:rPr>
              <w:t>(Policy Brief 20/2024).</w:t>
            </w:r>
            <w:r w:rsidRPr="00441A1B">
              <w:rPr>
                <w:rStyle w:val="apple-converted-space"/>
                <w:rFonts w:ascii="Cambria" w:hAnsi="Cambria"/>
                <w:bCs/>
                <w:color w:val="000000"/>
                <w:sz w:val="20"/>
                <w:szCs w:val="20"/>
              </w:rPr>
              <w:t> </w:t>
            </w:r>
            <w:r w:rsidRPr="00441A1B">
              <w:rPr>
                <w:rStyle w:val="whitespace-normal"/>
                <w:rFonts w:ascii="Cambria" w:hAnsi="Cambria"/>
                <w:bCs/>
                <w:color w:val="000000"/>
                <w:sz w:val="20"/>
                <w:szCs w:val="20"/>
              </w:rPr>
              <w:t>Bruegel</w:t>
            </w:r>
            <w:r w:rsidRPr="00441A1B">
              <w:rPr>
                <w:rFonts w:ascii="Cambria" w:hAnsi="Cambria"/>
                <w:bCs/>
                <w:color w:val="000000"/>
                <w:sz w:val="20"/>
                <w:szCs w:val="20"/>
              </w:rPr>
              <w:t>.</w:t>
            </w:r>
            <w:r w:rsidRPr="00441A1B">
              <w:rPr>
                <w:rStyle w:val="apple-converted-space"/>
                <w:rFonts w:ascii="Cambria" w:hAnsi="Cambria"/>
                <w:bCs/>
                <w:color w:val="000000"/>
                <w:sz w:val="20"/>
                <w:szCs w:val="20"/>
              </w:rPr>
              <w:t> </w:t>
            </w:r>
            <w:hyperlink r:id="rId8" w:tgtFrame="_new" w:history="1">
              <w:r w:rsidRPr="00441A1B">
                <w:rPr>
                  <w:rStyle w:val="Hyperlink"/>
                  <w:rFonts w:ascii="Cambria" w:hAnsi="Cambria"/>
                  <w:bCs/>
                  <w:sz w:val="20"/>
                  <w:szCs w:val="20"/>
                </w:rPr>
                <w:t>https://www.bruegel.org/policy-brief/european-circular-single-market-economic-security-and-competitiveness</w:t>
              </w:r>
            </w:hyperlink>
          </w:p>
          <w:p w14:paraId="04E683A6" w14:textId="6CC34730" w:rsidR="00E530BD" w:rsidRPr="008E036D" w:rsidRDefault="00E530BD" w:rsidP="00E530BD">
            <w:pPr>
              <w:autoSpaceDE w:val="0"/>
              <w:autoSpaceDN w:val="0"/>
              <w:adjustRightInd w:val="0"/>
              <w:spacing w:after="0" w:line="240" w:lineRule="auto"/>
              <w:rPr>
                <w:rFonts w:cstheme="minorHAnsi"/>
              </w:rPr>
            </w:pPr>
            <w:r w:rsidRPr="00441A1B">
              <w:rPr>
                <w:rStyle w:val="Strong"/>
                <w:rFonts w:ascii="Cambria" w:hAnsi="Cambria"/>
                <w:b w:val="0"/>
                <w:color w:val="000000"/>
                <w:sz w:val="20"/>
                <w:szCs w:val="20"/>
              </w:rPr>
              <w:t>Aydin, T., Galetto, C., Jona Falco, J., Minasian, A., Renner, L., &amp; Segrè, E. (31 martie 2025).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 xml:space="preserve">The Geopolitics of the European Green Deal: From Fragile to </w:t>
            </w:r>
            <w:r w:rsidRPr="00441A1B">
              <w:rPr>
                <w:rStyle w:val="Emphasis"/>
                <w:rFonts w:ascii="Cambria" w:hAnsi="Cambria"/>
                <w:bCs/>
                <w:color w:val="000000"/>
                <w:sz w:val="20"/>
                <w:szCs w:val="20"/>
              </w:rPr>
              <w:lastRenderedPageBreak/>
              <w:t>Strategic Dependencies?</w:t>
            </w:r>
            <w:r w:rsidRPr="00441A1B">
              <w:rPr>
                <w:rStyle w:val="apple-converted-space"/>
                <w:rFonts w:ascii="Cambria" w:hAnsi="Cambria"/>
                <w:bCs/>
                <w:color w:val="000000"/>
                <w:sz w:val="20"/>
                <w:szCs w:val="20"/>
              </w:rPr>
              <w:t> </w:t>
            </w:r>
            <w:r w:rsidRPr="00441A1B">
              <w:rPr>
                <w:rFonts w:ascii="Cambria" w:hAnsi="Cambria"/>
                <w:bCs/>
                <w:color w:val="000000"/>
                <w:sz w:val="20"/>
                <w:szCs w:val="20"/>
              </w:rPr>
              <w:t>European Chair for Sustainable Development and Climate Transition, Sciences Po.</w:t>
            </w:r>
            <w:r w:rsidRPr="00441A1B">
              <w:rPr>
                <w:rStyle w:val="apple-converted-space"/>
                <w:rFonts w:ascii="Cambria" w:hAnsi="Cambria"/>
                <w:bCs/>
                <w:color w:val="000000"/>
                <w:sz w:val="20"/>
                <w:szCs w:val="20"/>
              </w:rPr>
              <w:t> </w:t>
            </w:r>
            <w:hyperlink r:id="rId9" w:tgtFrame="_new" w:history="1">
              <w:r w:rsidRPr="00441A1B">
                <w:rPr>
                  <w:rStyle w:val="Hyperlink"/>
                  <w:rFonts w:ascii="Cambria" w:hAnsi="Cambria"/>
                  <w:bCs/>
                  <w:sz w:val="20"/>
                  <w:szCs w:val="20"/>
                </w:rPr>
                <w:t>https://www.sciencespo.fr/chair-sustainable-development/news/the-geopolitics-of-the-european-green-deal-from-fragile-to-strategic-dependencies/</w:t>
              </w:r>
            </w:hyperlink>
          </w:p>
        </w:tc>
        <w:tc>
          <w:tcPr>
            <w:tcW w:w="3420" w:type="dxa"/>
            <w:vAlign w:val="center"/>
          </w:tcPr>
          <w:p w14:paraId="4E8A9FBD" w14:textId="3C114601" w:rsidR="00E530BD" w:rsidRPr="008E036D" w:rsidRDefault="00C01652" w:rsidP="00E530BD">
            <w:pPr>
              <w:spacing w:after="0" w:line="240" w:lineRule="auto"/>
              <w:rPr>
                <w:rFonts w:cstheme="minorHAnsi"/>
              </w:rPr>
            </w:pPr>
            <w:r>
              <w:rPr>
                <w:rFonts w:ascii="Cambria" w:hAnsi="Cambria"/>
                <w:sz w:val="20"/>
                <w:szCs w:val="20"/>
              </w:rPr>
              <w:lastRenderedPageBreak/>
              <w:t>Text-based discussions</w:t>
            </w:r>
          </w:p>
        </w:tc>
        <w:tc>
          <w:tcPr>
            <w:tcW w:w="3292" w:type="dxa"/>
            <w:vAlign w:val="center"/>
          </w:tcPr>
          <w:p w14:paraId="4683B166" w14:textId="169CBA67" w:rsidR="00E530BD" w:rsidRPr="00B52DD2" w:rsidRDefault="00C01652" w:rsidP="00E530BD">
            <w:pPr>
              <w:spacing w:after="0" w:line="240" w:lineRule="auto"/>
              <w:rPr>
                <w:rFonts w:ascii="Times New Roman" w:hAnsi="Times New Roman"/>
              </w:rPr>
            </w:pPr>
            <w:r>
              <w:rPr>
                <w:rFonts w:ascii="Cambria" w:hAnsi="Cambria"/>
                <w:sz w:val="20"/>
                <w:szCs w:val="20"/>
              </w:rPr>
              <w:t>Reading is compulsory</w:t>
            </w:r>
          </w:p>
          <w:p w14:paraId="371F054E" w14:textId="77777777" w:rsidR="00E530BD" w:rsidRPr="008E036D" w:rsidRDefault="00E530BD" w:rsidP="00E530BD">
            <w:pPr>
              <w:spacing w:after="0" w:line="240" w:lineRule="auto"/>
              <w:rPr>
                <w:rFonts w:cstheme="minorHAnsi"/>
              </w:rPr>
            </w:pPr>
          </w:p>
        </w:tc>
      </w:tr>
      <w:tr w:rsidR="00C01652" w:rsidRPr="002A3A93" w14:paraId="37670936" w14:textId="77777777" w:rsidTr="00AC12B9">
        <w:tc>
          <w:tcPr>
            <w:tcW w:w="3779" w:type="dxa"/>
          </w:tcPr>
          <w:p w14:paraId="45397BE2" w14:textId="4B55ABAE" w:rsidR="00C01652" w:rsidRPr="00441A1B" w:rsidRDefault="00C01652" w:rsidP="00C01652">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 3</w:t>
            </w:r>
            <w:r w:rsidRPr="00441A1B">
              <w:rPr>
                <w:rFonts w:ascii="Cambria" w:hAnsi="Cambria"/>
                <w:bCs/>
                <w:sz w:val="20"/>
                <w:szCs w:val="20"/>
              </w:rPr>
              <w:t xml:space="preserve">: </w:t>
            </w:r>
            <w:r>
              <w:rPr>
                <w:rFonts w:ascii="Cambria" w:hAnsi="Cambria"/>
                <w:bCs/>
                <w:sz w:val="20"/>
                <w:szCs w:val="20"/>
              </w:rPr>
              <w:t>A digital EU</w:t>
            </w:r>
          </w:p>
          <w:p w14:paraId="4952612C" w14:textId="77777777" w:rsidR="00C01652" w:rsidRPr="00441A1B" w:rsidRDefault="00C01652" w:rsidP="00C01652">
            <w:pPr>
              <w:spacing w:after="0" w:line="240" w:lineRule="auto"/>
              <w:rPr>
                <w:rFonts w:ascii="Cambria" w:hAnsi="Cambria"/>
                <w:bCs/>
                <w:color w:val="0000FF"/>
                <w:sz w:val="20"/>
                <w:szCs w:val="20"/>
                <w:u w:val="single"/>
              </w:rPr>
            </w:pPr>
          </w:p>
          <w:p w14:paraId="7866A72D" w14:textId="77777777" w:rsidR="00C01652" w:rsidRPr="00441A1B" w:rsidRDefault="00C01652" w:rsidP="00C01652">
            <w:pPr>
              <w:spacing w:after="0" w:line="240" w:lineRule="auto"/>
              <w:rPr>
                <w:rFonts w:ascii="Cambria" w:hAnsi="Cambria"/>
                <w:bCs/>
                <w:sz w:val="20"/>
                <w:szCs w:val="20"/>
              </w:rPr>
            </w:pPr>
            <w:r w:rsidRPr="00441A1B">
              <w:rPr>
                <w:rStyle w:val="Strong"/>
                <w:rFonts w:ascii="Cambria" w:hAnsi="Cambria"/>
                <w:b w:val="0"/>
                <w:color w:val="000000"/>
                <w:sz w:val="20"/>
                <w:szCs w:val="20"/>
              </w:rPr>
              <w:t>Burwell, F., &amp; Propp, K. (14 ianuarie 2026).</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Digital sovereignty: Europe’s declaration of independence?</w:t>
            </w:r>
            <w:r w:rsidRPr="00441A1B">
              <w:rPr>
                <w:rStyle w:val="apple-converted-space"/>
                <w:rFonts w:ascii="Cambria" w:hAnsi="Cambria"/>
                <w:bCs/>
                <w:color w:val="000000"/>
                <w:sz w:val="20"/>
                <w:szCs w:val="20"/>
              </w:rPr>
              <w:t> </w:t>
            </w:r>
            <w:r w:rsidRPr="00441A1B">
              <w:rPr>
                <w:rFonts w:ascii="Cambria" w:hAnsi="Cambria"/>
                <w:bCs/>
                <w:color w:val="000000"/>
                <w:sz w:val="20"/>
                <w:szCs w:val="20"/>
              </w:rPr>
              <w:t>Atlantic Council.</w:t>
            </w:r>
            <w:r w:rsidRPr="00441A1B">
              <w:rPr>
                <w:rStyle w:val="apple-converted-space"/>
                <w:rFonts w:ascii="Cambria" w:hAnsi="Cambria"/>
                <w:bCs/>
                <w:color w:val="000000"/>
                <w:sz w:val="20"/>
                <w:szCs w:val="20"/>
              </w:rPr>
              <w:t> </w:t>
            </w:r>
            <w:hyperlink r:id="rId10" w:tgtFrame="_new" w:history="1">
              <w:r w:rsidRPr="00441A1B">
                <w:rPr>
                  <w:rStyle w:val="Hyperlink"/>
                  <w:rFonts w:ascii="Cambria" w:hAnsi="Cambria"/>
                  <w:bCs/>
                  <w:sz w:val="20"/>
                  <w:szCs w:val="20"/>
                </w:rPr>
                <w:t>https://www.atlanticcouncil.org/in-depth-research-reports/report/digital-sovereignty-europes-declaration-of-independence/</w:t>
              </w:r>
            </w:hyperlink>
          </w:p>
          <w:p w14:paraId="3B23141B" w14:textId="77777777" w:rsidR="00C01652" w:rsidRPr="008E036D" w:rsidRDefault="00C01652" w:rsidP="00C01652">
            <w:pPr>
              <w:spacing w:after="0" w:line="240" w:lineRule="auto"/>
              <w:rPr>
                <w:rFonts w:cstheme="minorHAnsi"/>
              </w:rPr>
            </w:pPr>
          </w:p>
        </w:tc>
        <w:tc>
          <w:tcPr>
            <w:tcW w:w="3420" w:type="dxa"/>
            <w:vAlign w:val="center"/>
          </w:tcPr>
          <w:p w14:paraId="6C2CF76D" w14:textId="36D63B5C" w:rsidR="00C01652" w:rsidRPr="008E036D" w:rsidRDefault="00C01652" w:rsidP="00C01652">
            <w:pPr>
              <w:spacing w:after="0" w:line="240" w:lineRule="auto"/>
              <w:rPr>
                <w:rFonts w:cstheme="minorHAnsi"/>
                <w:lang w:val="en-US"/>
              </w:rPr>
            </w:pPr>
            <w:r>
              <w:rPr>
                <w:rFonts w:ascii="Cambria" w:hAnsi="Cambria"/>
                <w:sz w:val="20"/>
                <w:szCs w:val="20"/>
              </w:rPr>
              <w:t>Text-based discussions</w:t>
            </w:r>
          </w:p>
        </w:tc>
        <w:tc>
          <w:tcPr>
            <w:tcW w:w="3292" w:type="dxa"/>
            <w:vAlign w:val="center"/>
          </w:tcPr>
          <w:p w14:paraId="643B715C" w14:textId="77777777" w:rsidR="00C01652" w:rsidRPr="00B52DD2" w:rsidRDefault="00C01652" w:rsidP="00C01652">
            <w:pPr>
              <w:spacing w:after="0" w:line="240" w:lineRule="auto"/>
              <w:rPr>
                <w:rFonts w:ascii="Times New Roman" w:hAnsi="Times New Roman"/>
              </w:rPr>
            </w:pPr>
            <w:r>
              <w:rPr>
                <w:rFonts w:ascii="Cambria" w:hAnsi="Cambria"/>
                <w:sz w:val="20"/>
                <w:szCs w:val="20"/>
              </w:rPr>
              <w:t>Reading is compulsory</w:t>
            </w:r>
          </w:p>
          <w:p w14:paraId="141CFEC8" w14:textId="77777777" w:rsidR="00C01652" w:rsidRPr="008E036D" w:rsidRDefault="00C01652" w:rsidP="00C01652">
            <w:pPr>
              <w:spacing w:after="0" w:line="240" w:lineRule="auto"/>
              <w:rPr>
                <w:rFonts w:cstheme="minorHAnsi"/>
              </w:rPr>
            </w:pPr>
          </w:p>
        </w:tc>
      </w:tr>
      <w:tr w:rsidR="00C01652" w:rsidRPr="002A3A93" w14:paraId="6A3CFE66" w14:textId="77777777" w:rsidTr="00AC12B9">
        <w:tc>
          <w:tcPr>
            <w:tcW w:w="3779" w:type="dxa"/>
          </w:tcPr>
          <w:p w14:paraId="1444890B" w14:textId="5CE1C395" w:rsidR="00C01652" w:rsidRPr="00441A1B" w:rsidRDefault="00C01652" w:rsidP="00C01652">
            <w:pPr>
              <w:spacing w:after="0" w:line="240" w:lineRule="auto"/>
              <w:rPr>
                <w:rFonts w:ascii="Cambria" w:hAnsi="Cambria"/>
                <w:bCs/>
                <w:sz w:val="20"/>
                <w:szCs w:val="20"/>
              </w:rPr>
            </w:pPr>
            <w:r>
              <w:rPr>
                <w:rFonts w:ascii="Cambria" w:hAnsi="Cambria"/>
                <w:bCs/>
                <w:sz w:val="20"/>
                <w:szCs w:val="20"/>
                <w:u w:val="single"/>
              </w:rPr>
              <w:t xml:space="preserve">Seminarul 4: </w:t>
            </w:r>
            <w:r w:rsidRPr="00441A1B">
              <w:rPr>
                <w:rFonts w:ascii="Cambria" w:hAnsi="Cambria"/>
                <w:bCs/>
                <w:sz w:val="20"/>
                <w:szCs w:val="20"/>
              </w:rPr>
              <w:t xml:space="preserve"> </w:t>
            </w:r>
            <w:r>
              <w:rPr>
                <w:rFonts w:ascii="Cambria" w:hAnsi="Cambria"/>
                <w:bCs/>
                <w:sz w:val="20"/>
                <w:szCs w:val="20"/>
              </w:rPr>
              <w:t>European Economic spheres of influence</w:t>
            </w:r>
          </w:p>
          <w:p w14:paraId="244A1E53" w14:textId="77777777" w:rsidR="00C01652" w:rsidRPr="00441A1B" w:rsidRDefault="00C01652" w:rsidP="00C01652">
            <w:pPr>
              <w:spacing w:after="0" w:line="240" w:lineRule="auto"/>
              <w:rPr>
                <w:rFonts w:ascii="Cambria" w:hAnsi="Cambria"/>
                <w:bCs/>
                <w:sz w:val="20"/>
                <w:szCs w:val="20"/>
              </w:rPr>
            </w:pPr>
          </w:p>
          <w:p w14:paraId="548129E4" w14:textId="4A7A19E3" w:rsidR="00C01652" w:rsidRPr="008E036D" w:rsidRDefault="00C01652" w:rsidP="00C01652">
            <w:pPr>
              <w:autoSpaceDE w:val="0"/>
              <w:autoSpaceDN w:val="0"/>
              <w:adjustRightInd w:val="0"/>
              <w:spacing w:after="0" w:line="240" w:lineRule="auto"/>
              <w:rPr>
                <w:rFonts w:cstheme="minorHAnsi"/>
              </w:rPr>
            </w:pPr>
            <w:r w:rsidRPr="00E530BD">
              <w:rPr>
                <w:rStyle w:val="Strong"/>
                <w:rFonts w:ascii="Cambria" w:hAnsi="Cambria"/>
                <w:b w:val="0"/>
                <w:color w:val="000000"/>
                <w:sz w:val="20"/>
                <w:szCs w:val="20"/>
                <w:lang w:val="de-DE"/>
              </w:rPr>
              <w:t>Korteweg, R., &amp; van Wijk, D. (octombrie 2025).</w:t>
            </w:r>
            <w:r w:rsidRPr="00E530BD">
              <w:rPr>
                <w:rStyle w:val="apple-converted-space"/>
                <w:rFonts w:ascii="Cambria" w:hAnsi="Cambria"/>
                <w:bCs/>
                <w:color w:val="000000"/>
                <w:sz w:val="20"/>
                <w:szCs w:val="20"/>
                <w:lang w:val="de-DE"/>
              </w:rPr>
              <w:t> </w:t>
            </w:r>
            <w:r w:rsidRPr="00441A1B">
              <w:rPr>
                <w:rStyle w:val="Emphasis"/>
                <w:rFonts w:ascii="Cambria" w:hAnsi="Cambria"/>
                <w:bCs/>
                <w:color w:val="000000"/>
                <w:sz w:val="20"/>
                <w:szCs w:val="20"/>
              </w:rPr>
              <w:t>Raising the Standard: How to unlock the geopolitical potential of Europe’s internal market</w:t>
            </w:r>
            <w:r w:rsidRPr="00441A1B">
              <w:rPr>
                <w:rStyle w:val="apple-converted-space"/>
                <w:rFonts w:ascii="Cambria" w:hAnsi="Cambria"/>
                <w:bCs/>
                <w:color w:val="000000"/>
                <w:sz w:val="20"/>
                <w:szCs w:val="20"/>
              </w:rPr>
              <w:t> </w:t>
            </w:r>
            <w:r w:rsidRPr="00441A1B">
              <w:rPr>
                <w:rFonts w:ascii="Cambria" w:hAnsi="Cambria"/>
                <w:bCs/>
                <w:color w:val="000000"/>
                <w:sz w:val="20"/>
                <w:szCs w:val="20"/>
              </w:rPr>
              <w:t>(Clingendael Report). Netherlands Institute of International Relations - Clingendael.</w:t>
            </w:r>
            <w:r w:rsidRPr="00441A1B">
              <w:rPr>
                <w:rStyle w:val="apple-converted-space"/>
                <w:rFonts w:ascii="Cambria" w:hAnsi="Cambria"/>
                <w:bCs/>
                <w:color w:val="000000"/>
                <w:sz w:val="20"/>
                <w:szCs w:val="20"/>
              </w:rPr>
              <w:t> </w:t>
            </w:r>
            <w:hyperlink r:id="rId11" w:tgtFrame="_new" w:history="1">
              <w:r w:rsidRPr="00441A1B">
                <w:rPr>
                  <w:rStyle w:val="Hyperlink"/>
                  <w:rFonts w:ascii="Cambria" w:hAnsi="Cambria"/>
                  <w:bCs/>
                  <w:sz w:val="20"/>
                  <w:szCs w:val="20"/>
                </w:rPr>
                <w:t>https://www.clingendael.org/sites/default/files/2025-10/Report_Raising_the_Standard.pdf</w:t>
              </w:r>
            </w:hyperlink>
          </w:p>
        </w:tc>
        <w:tc>
          <w:tcPr>
            <w:tcW w:w="3420" w:type="dxa"/>
            <w:vAlign w:val="center"/>
          </w:tcPr>
          <w:p w14:paraId="119F95BE" w14:textId="14CD2302" w:rsidR="00C01652" w:rsidRPr="008E036D" w:rsidRDefault="00C01652" w:rsidP="00C01652">
            <w:pPr>
              <w:spacing w:after="0" w:line="240" w:lineRule="auto"/>
              <w:rPr>
                <w:rFonts w:cstheme="minorHAnsi"/>
              </w:rPr>
            </w:pPr>
            <w:r>
              <w:rPr>
                <w:rFonts w:ascii="Cambria" w:hAnsi="Cambria"/>
                <w:sz w:val="20"/>
                <w:szCs w:val="20"/>
              </w:rPr>
              <w:t>Text-based discussions</w:t>
            </w:r>
          </w:p>
        </w:tc>
        <w:tc>
          <w:tcPr>
            <w:tcW w:w="3292" w:type="dxa"/>
            <w:vAlign w:val="center"/>
          </w:tcPr>
          <w:p w14:paraId="5151A386" w14:textId="77777777" w:rsidR="00C01652" w:rsidRPr="00B52DD2" w:rsidRDefault="00C01652" w:rsidP="00C01652">
            <w:pPr>
              <w:spacing w:after="0" w:line="240" w:lineRule="auto"/>
              <w:rPr>
                <w:rFonts w:ascii="Times New Roman" w:hAnsi="Times New Roman"/>
              </w:rPr>
            </w:pPr>
            <w:r>
              <w:rPr>
                <w:rFonts w:ascii="Cambria" w:hAnsi="Cambria"/>
                <w:sz w:val="20"/>
                <w:szCs w:val="20"/>
              </w:rPr>
              <w:t>Reading is compulsory</w:t>
            </w:r>
          </w:p>
          <w:p w14:paraId="32405D03" w14:textId="77777777" w:rsidR="00C01652" w:rsidRPr="008E036D" w:rsidRDefault="00C01652" w:rsidP="00C01652">
            <w:pPr>
              <w:spacing w:after="0" w:line="240" w:lineRule="auto"/>
              <w:rPr>
                <w:rFonts w:cstheme="minorHAnsi"/>
              </w:rPr>
            </w:pPr>
          </w:p>
        </w:tc>
      </w:tr>
      <w:tr w:rsidR="00C01652" w:rsidRPr="002A3A93" w14:paraId="4F9218CD" w14:textId="77777777" w:rsidTr="00AC12B9">
        <w:tc>
          <w:tcPr>
            <w:tcW w:w="3779" w:type="dxa"/>
          </w:tcPr>
          <w:p w14:paraId="69782FBE" w14:textId="0D622167" w:rsidR="00C01652" w:rsidRPr="00441A1B" w:rsidRDefault="00C01652" w:rsidP="00C01652">
            <w:pPr>
              <w:spacing w:after="0" w:line="240" w:lineRule="auto"/>
              <w:rPr>
                <w:rFonts w:ascii="Cambria" w:hAnsi="Cambria"/>
                <w:bCs/>
                <w:sz w:val="20"/>
                <w:szCs w:val="20"/>
                <w:u w:val="single"/>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5</w:t>
            </w:r>
            <w:r w:rsidRPr="00C01652">
              <w:rPr>
                <w:rFonts w:ascii="Cambria" w:hAnsi="Cambria"/>
                <w:bCs/>
                <w:sz w:val="20"/>
                <w:szCs w:val="20"/>
              </w:rPr>
              <w:t xml:space="preserve">: </w:t>
            </w:r>
            <w:r>
              <w:rPr>
                <w:rFonts w:ascii="Cambria" w:hAnsi="Cambria"/>
                <w:bCs/>
                <w:sz w:val="20"/>
                <w:szCs w:val="20"/>
              </w:rPr>
              <w:t>EU military power</w:t>
            </w:r>
          </w:p>
          <w:p w14:paraId="42CC8136" w14:textId="77777777" w:rsidR="00C01652" w:rsidRPr="00441A1B" w:rsidRDefault="00C01652" w:rsidP="00C01652">
            <w:pPr>
              <w:spacing w:after="0" w:line="240" w:lineRule="auto"/>
              <w:rPr>
                <w:rFonts w:ascii="Cambria" w:hAnsi="Cambria"/>
                <w:bCs/>
                <w:sz w:val="20"/>
                <w:szCs w:val="20"/>
              </w:rPr>
            </w:pPr>
          </w:p>
          <w:p w14:paraId="3A85D1C1" w14:textId="77777777" w:rsidR="00C01652" w:rsidRPr="00441A1B" w:rsidRDefault="00C01652" w:rsidP="00C01652">
            <w:pPr>
              <w:spacing w:after="0" w:line="240" w:lineRule="auto"/>
              <w:rPr>
                <w:rFonts w:ascii="Cambria" w:hAnsi="Cambria"/>
                <w:bCs/>
                <w:sz w:val="20"/>
                <w:szCs w:val="20"/>
              </w:rPr>
            </w:pPr>
            <w:r w:rsidRPr="00E530BD">
              <w:rPr>
                <w:rStyle w:val="Strong"/>
                <w:rFonts w:ascii="Cambria" w:hAnsi="Cambria"/>
                <w:b w:val="0"/>
                <w:color w:val="000000"/>
                <w:sz w:val="20"/>
                <w:szCs w:val="20"/>
                <w:lang w:val="de-DE"/>
              </w:rPr>
              <w:t>Nizhnikau, R., Karjalainen, T., &amp; Jokela, J. P. (1 septembrie 2025).</w:t>
            </w:r>
            <w:r w:rsidRPr="00E530BD">
              <w:rPr>
                <w:rStyle w:val="apple-converted-space"/>
                <w:rFonts w:ascii="Cambria" w:hAnsi="Cambria"/>
                <w:bCs/>
                <w:color w:val="000000"/>
                <w:sz w:val="20"/>
                <w:szCs w:val="20"/>
                <w:lang w:val="de-DE"/>
              </w:rPr>
              <w:t> </w:t>
            </w:r>
            <w:r w:rsidRPr="00441A1B">
              <w:rPr>
                <w:rStyle w:val="Emphasis"/>
                <w:rFonts w:ascii="Cambria" w:hAnsi="Cambria"/>
                <w:bCs/>
                <w:color w:val="000000"/>
                <w:sz w:val="20"/>
                <w:szCs w:val="20"/>
              </w:rPr>
              <w:t>InvigoratEU Policy Paper on Demands for European security and defence cooperation in Ukraine after Russia’s invasion (D8.3)</w:t>
            </w:r>
            <w:r w:rsidRPr="00441A1B">
              <w:rPr>
                <w:rFonts w:ascii="Cambria" w:hAnsi="Cambria"/>
                <w:bCs/>
                <w:color w:val="000000"/>
                <w:sz w:val="20"/>
                <w:szCs w:val="20"/>
              </w:rPr>
              <w:t>. Finnish Institute of International Affairs.</w:t>
            </w:r>
            <w:r w:rsidRPr="00441A1B">
              <w:rPr>
                <w:rStyle w:val="apple-converted-space"/>
                <w:rFonts w:ascii="Cambria" w:hAnsi="Cambria"/>
                <w:bCs/>
                <w:color w:val="000000"/>
                <w:sz w:val="20"/>
                <w:szCs w:val="20"/>
              </w:rPr>
              <w:t> </w:t>
            </w:r>
            <w:hyperlink r:id="rId12" w:tgtFrame="_new" w:history="1">
              <w:r w:rsidRPr="00441A1B">
                <w:rPr>
                  <w:rStyle w:val="Hyperlink"/>
                  <w:rFonts w:ascii="Cambria" w:hAnsi="Cambria"/>
                  <w:bCs/>
                  <w:sz w:val="20"/>
                  <w:szCs w:val="20"/>
                </w:rPr>
                <w:t>https://fiia.fi/en/publication/demands-for-european-security-and-defence-cooperation-in-ukraine-after-russias-invasion</w:t>
              </w:r>
            </w:hyperlink>
          </w:p>
          <w:p w14:paraId="3ACCAA7C" w14:textId="77777777" w:rsidR="00C01652" w:rsidRPr="00441A1B" w:rsidRDefault="00C01652" w:rsidP="00C01652">
            <w:pPr>
              <w:spacing w:after="0" w:line="240" w:lineRule="auto"/>
              <w:rPr>
                <w:rStyle w:val="Strong"/>
                <w:rFonts w:ascii="Cambria" w:hAnsi="Cambria"/>
                <w:b w:val="0"/>
                <w:color w:val="000000"/>
                <w:sz w:val="20"/>
                <w:szCs w:val="20"/>
              </w:rPr>
            </w:pPr>
          </w:p>
          <w:p w14:paraId="192F9913" w14:textId="58B53AED" w:rsidR="00C01652" w:rsidRPr="008E036D" w:rsidRDefault="00C01652" w:rsidP="00C01652">
            <w:pPr>
              <w:spacing w:after="0" w:line="240" w:lineRule="auto"/>
              <w:rPr>
                <w:rFonts w:cstheme="minorHAnsi"/>
              </w:rPr>
            </w:pPr>
            <w:r w:rsidRPr="00441A1B">
              <w:rPr>
                <w:rStyle w:val="Strong"/>
                <w:rFonts w:ascii="Cambria" w:hAnsi="Cambria"/>
                <w:b w:val="0"/>
                <w:color w:val="000000"/>
                <w:sz w:val="20"/>
                <w:szCs w:val="20"/>
              </w:rPr>
              <w:t>Wallander, C. A. (24 iunie 2025).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Beware the Europe You Wish For: The Downsides and Dangers of Allied Independence</w:t>
            </w:r>
            <w:r w:rsidRPr="00441A1B">
              <w:rPr>
                <w:rFonts w:ascii="Cambria" w:hAnsi="Cambria"/>
                <w:bCs/>
                <w:color w:val="000000"/>
                <w:sz w:val="20"/>
                <w:szCs w:val="20"/>
              </w:rPr>
              <w:t>.</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Foreign Affairs</w:t>
            </w:r>
            <w:r w:rsidRPr="00441A1B">
              <w:rPr>
                <w:rFonts w:ascii="Cambria" w:hAnsi="Cambria"/>
                <w:bCs/>
                <w:color w:val="000000"/>
                <w:sz w:val="20"/>
                <w:szCs w:val="20"/>
              </w:rPr>
              <w:t>.</w:t>
            </w:r>
            <w:r w:rsidRPr="00441A1B">
              <w:rPr>
                <w:rStyle w:val="apple-converted-space"/>
                <w:rFonts w:ascii="Cambria" w:hAnsi="Cambria"/>
                <w:bCs/>
                <w:color w:val="000000"/>
                <w:sz w:val="20"/>
                <w:szCs w:val="20"/>
              </w:rPr>
              <w:t> </w:t>
            </w:r>
            <w:hyperlink r:id="rId13" w:tgtFrame="_new" w:history="1">
              <w:r w:rsidRPr="00441A1B">
                <w:rPr>
                  <w:rStyle w:val="Hyperlink"/>
                  <w:rFonts w:ascii="Cambria" w:hAnsi="Cambria"/>
                  <w:bCs/>
                  <w:sz w:val="20"/>
                  <w:szCs w:val="20"/>
                </w:rPr>
                <w:t>https://www.foreignaffairs.com/europe/beware-europe-you-wish-wallander</w:t>
              </w:r>
            </w:hyperlink>
          </w:p>
        </w:tc>
        <w:tc>
          <w:tcPr>
            <w:tcW w:w="3420" w:type="dxa"/>
            <w:vAlign w:val="center"/>
          </w:tcPr>
          <w:p w14:paraId="73D1ED20" w14:textId="3229F430" w:rsidR="00C01652" w:rsidRPr="008E036D" w:rsidRDefault="00C01652" w:rsidP="00C01652">
            <w:pPr>
              <w:spacing w:after="0" w:line="240" w:lineRule="auto"/>
              <w:rPr>
                <w:rFonts w:cstheme="minorHAnsi"/>
              </w:rPr>
            </w:pPr>
            <w:r>
              <w:rPr>
                <w:rFonts w:ascii="Cambria" w:hAnsi="Cambria"/>
                <w:sz w:val="20"/>
                <w:szCs w:val="20"/>
              </w:rPr>
              <w:t>Text-based discussions</w:t>
            </w:r>
          </w:p>
        </w:tc>
        <w:tc>
          <w:tcPr>
            <w:tcW w:w="3292" w:type="dxa"/>
            <w:vAlign w:val="center"/>
          </w:tcPr>
          <w:p w14:paraId="1C787AAE" w14:textId="77777777" w:rsidR="00C01652" w:rsidRPr="00B52DD2" w:rsidRDefault="00C01652" w:rsidP="00C01652">
            <w:pPr>
              <w:spacing w:after="0" w:line="240" w:lineRule="auto"/>
              <w:rPr>
                <w:rFonts w:ascii="Times New Roman" w:hAnsi="Times New Roman"/>
              </w:rPr>
            </w:pPr>
            <w:r>
              <w:rPr>
                <w:rFonts w:ascii="Cambria" w:hAnsi="Cambria"/>
                <w:sz w:val="20"/>
                <w:szCs w:val="20"/>
              </w:rPr>
              <w:t>Reading is compulsory</w:t>
            </w:r>
          </w:p>
          <w:p w14:paraId="5782CA27" w14:textId="77777777" w:rsidR="00C01652" w:rsidRPr="008E036D" w:rsidRDefault="00C01652" w:rsidP="00C01652">
            <w:pPr>
              <w:spacing w:after="0" w:line="240" w:lineRule="auto"/>
              <w:rPr>
                <w:rFonts w:cstheme="minorHAnsi"/>
              </w:rPr>
            </w:pPr>
          </w:p>
        </w:tc>
      </w:tr>
      <w:tr w:rsidR="00BC572A" w:rsidRPr="002A3A93" w14:paraId="361949F3" w14:textId="77777777" w:rsidTr="00AC12B9">
        <w:tc>
          <w:tcPr>
            <w:tcW w:w="3779" w:type="dxa"/>
          </w:tcPr>
          <w:p w14:paraId="48F38334" w14:textId="2D1BB281" w:rsidR="00BC572A" w:rsidRPr="00441A1B" w:rsidRDefault="00BC572A" w:rsidP="00BC572A">
            <w:pPr>
              <w:spacing w:after="0" w:line="240" w:lineRule="auto"/>
              <w:rPr>
                <w:rFonts w:ascii="Cambria" w:hAnsi="Cambria"/>
                <w:bCs/>
                <w:sz w:val="20"/>
                <w:szCs w:val="20"/>
                <w:u w:val="single"/>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6</w:t>
            </w:r>
            <w:r w:rsidRPr="00441A1B">
              <w:rPr>
                <w:rFonts w:ascii="Cambria" w:hAnsi="Cambria"/>
                <w:bCs/>
                <w:sz w:val="20"/>
                <w:szCs w:val="20"/>
                <w:u w:val="single"/>
              </w:rPr>
              <w:t xml:space="preserve">: </w:t>
            </w:r>
            <w:r w:rsidRPr="00BC572A">
              <w:rPr>
                <w:rFonts w:ascii="Cambria" w:hAnsi="Cambria"/>
                <w:bCs/>
                <w:sz w:val="20"/>
                <w:szCs w:val="20"/>
              </w:rPr>
              <w:t>Global EU leadership in a multicrisis context</w:t>
            </w:r>
          </w:p>
          <w:p w14:paraId="40FD4878" w14:textId="77777777" w:rsidR="00BC572A" w:rsidRPr="00441A1B" w:rsidRDefault="00BC572A" w:rsidP="00BC572A">
            <w:pPr>
              <w:spacing w:after="0" w:line="240" w:lineRule="auto"/>
              <w:rPr>
                <w:rFonts w:ascii="Cambria" w:hAnsi="Cambria"/>
                <w:bCs/>
                <w:sz w:val="20"/>
                <w:szCs w:val="20"/>
                <w:u w:val="single"/>
              </w:rPr>
            </w:pPr>
          </w:p>
          <w:p w14:paraId="4FD1F09F" w14:textId="77777777" w:rsidR="00BC572A" w:rsidRPr="00441A1B" w:rsidRDefault="00BC572A" w:rsidP="00BC572A">
            <w:pPr>
              <w:spacing w:after="0" w:line="240" w:lineRule="auto"/>
              <w:rPr>
                <w:rFonts w:ascii="Cambria" w:hAnsi="Cambria"/>
                <w:bCs/>
                <w:sz w:val="20"/>
                <w:szCs w:val="20"/>
              </w:rPr>
            </w:pPr>
            <w:r w:rsidRPr="00E530BD">
              <w:rPr>
                <w:rFonts w:ascii="Cambria" w:hAnsi="Cambria"/>
                <w:bCs/>
                <w:color w:val="000000"/>
                <w:sz w:val="20"/>
                <w:szCs w:val="20"/>
                <w:lang w:val="de-DE"/>
              </w:rPr>
              <w:t>Mustasilta, K., Karjalainen, T., &amp; Tammikko, T. (2025).</w:t>
            </w:r>
            <w:r w:rsidRPr="00E530BD">
              <w:rPr>
                <w:rStyle w:val="apple-converted-space"/>
                <w:rFonts w:ascii="Cambria" w:hAnsi="Cambria"/>
                <w:bCs/>
                <w:color w:val="000000"/>
                <w:sz w:val="20"/>
                <w:szCs w:val="20"/>
                <w:lang w:val="de-DE"/>
              </w:rPr>
              <w:t> </w:t>
            </w:r>
            <w:r w:rsidRPr="00441A1B">
              <w:rPr>
                <w:rStyle w:val="Emphasis"/>
                <w:rFonts w:ascii="Cambria" w:hAnsi="Cambria"/>
                <w:bCs/>
                <w:color w:val="000000"/>
                <w:sz w:val="20"/>
                <w:szCs w:val="20"/>
              </w:rPr>
              <w:t>The European Union’s crisis management efforts: Evolution amid a shifting international order and the war in Ukraine</w:t>
            </w:r>
            <w:r w:rsidRPr="00441A1B">
              <w:rPr>
                <w:rStyle w:val="apple-converted-space"/>
                <w:rFonts w:ascii="Cambria" w:hAnsi="Cambria"/>
                <w:bCs/>
                <w:color w:val="000000"/>
                <w:sz w:val="20"/>
                <w:szCs w:val="20"/>
              </w:rPr>
              <w:t> </w:t>
            </w:r>
            <w:r w:rsidRPr="00441A1B">
              <w:rPr>
                <w:rFonts w:ascii="Cambria" w:hAnsi="Cambria"/>
                <w:bCs/>
                <w:color w:val="000000"/>
                <w:sz w:val="20"/>
                <w:szCs w:val="20"/>
              </w:rPr>
              <w:t>(FIIA Briefing Paper No. 427). Finnish Institute of International Affairs.</w:t>
            </w:r>
            <w:r w:rsidRPr="00441A1B">
              <w:rPr>
                <w:rStyle w:val="apple-converted-space"/>
                <w:rFonts w:ascii="Cambria" w:hAnsi="Cambria"/>
                <w:bCs/>
                <w:color w:val="000000"/>
                <w:sz w:val="20"/>
                <w:szCs w:val="20"/>
              </w:rPr>
              <w:t> </w:t>
            </w:r>
            <w:hyperlink r:id="rId14" w:tgtFrame="_new" w:history="1">
              <w:r w:rsidRPr="00441A1B">
                <w:rPr>
                  <w:rStyle w:val="Hyperlink"/>
                  <w:rFonts w:ascii="Cambria" w:hAnsi="Cambria"/>
                  <w:bCs/>
                  <w:sz w:val="20"/>
                  <w:szCs w:val="20"/>
                </w:rPr>
                <w:t>https://fiia.fi/en/publication/the</w:t>
              </w:r>
              <w:r w:rsidRPr="00441A1B">
                <w:rPr>
                  <w:rStyle w:val="Hyperlink"/>
                  <w:rFonts w:ascii="Cambria" w:hAnsi="Cambria"/>
                  <w:bCs/>
                  <w:sz w:val="20"/>
                  <w:szCs w:val="20"/>
                </w:rPr>
                <w:lastRenderedPageBreak/>
                <w:t>-european-unions-crisis-management-efforts</w:t>
              </w:r>
            </w:hyperlink>
          </w:p>
          <w:p w14:paraId="32CE5A1F" w14:textId="6267F374" w:rsidR="00BC572A" w:rsidRPr="008E036D" w:rsidRDefault="00BC572A" w:rsidP="00BC572A">
            <w:pPr>
              <w:spacing w:after="0" w:line="240" w:lineRule="auto"/>
              <w:rPr>
                <w:rFonts w:cstheme="minorHAnsi"/>
              </w:rPr>
            </w:pPr>
          </w:p>
        </w:tc>
        <w:tc>
          <w:tcPr>
            <w:tcW w:w="3420" w:type="dxa"/>
            <w:vAlign w:val="center"/>
          </w:tcPr>
          <w:p w14:paraId="31643573" w14:textId="74B305AA" w:rsidR="00BC572A" w:rsidRPr="008E036D" w:rsidRDefault="00BC572A" w:rsidP="00BC572A">
            <w:pPr>
              <w:spacing w:after="0" w:line="240" w:lineRule="auto"/>
              <w:rPr>
                <w:rFonts w:cstheme="minorHAnsi"/>
              </w:rPr>
            </w:pPr>
            <w:r>
              <w:rPr>
                <w:rFonts w:ascii="Cambria" w:hAnsi="Cambria"/>
                <w:sz w:val="20"/>
                <w:szCs w:val="20"/>
              </w:rPr>
              <w:lastRenderedPageBreak/>
              <w:t>Text-based discussions</w:t>
            </w:r>
          </w:p>
        </w:tc>
        <w:tc>
          <w:tcPr>
            <w:tcW w:w="3292" w:type="dxa"/>
            <w:vAlign w:val="center"/>
          </w:tcPr>
          <w:p w14:paraId="25BB09D4" w14:textId="77777777" w:rsidR="00BC572A" w:rsidRPr="00B52DD2" w:rsidRDefault="00BC572A" w:rsidP="00BC572A">
            <w:pPr>
              <w:spacing w:after="0" w:line="240" w:lineRule="auto"/>
              <w:rPr>
                <w:rFonts w:ascii="Times New Roman" w:hAnsi="Times New Roman"/>
              </w:rPr>
            </w:pPr>
            <w:r>
              <w:rPr>
                <w:rFonts w:ascii="Cambria" w:hAnsi="Cambria"/>
                <w:sz w:val="20"/>
                <w:szCs w:val="20"/>
              </w:rPr>
              <w:t>Reading is compulsory</w:t>
            </w:r>
          </w:p>
          <w:p w14:paraId="6C633C9D" w14:textId="77777777" w:rsidR="00BC572A" w:rsidRPr="008E036D" w:rsidRDefault="00BC572A" w:rsidP="00BC572A">
            <w:pPr>
              <w:spacing w:after="0" w:line="240" w:lineRule="auto"/>
              <w:rPr>
                <w:rFonts w:cstheme="minorHAnsi"/>
              </w:rPr>
            </w:pPr>
          </w:p>
        </w:tc>
      </w:tr>
      <w:tr w:rsidR="00BC572A" w:rsidRPr="002A3A93" w14:paraId="0702E3F4" w14:textId="77777777" w:rsidTr="00AC12B9">
        <w:tc>
          <w:tcPr>
            <w:tcW w:w="3779" w:type="dxa"/>
          </w:tcPr>
          <w:p w14:paraId="27AC0339" w14:textId="631FA7C0" w:rsidR="00BC572A" w:rsidRPr="00441A1B" w:rsidRDefault="00BC572A" w:rsidP="00BC572A">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7</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EU expansion and transformation</w:t>
            </w:r>
          </w:p>
          <w:p w14:paraId="0D0467C5" w14:textId="77777777" w:rsidR="00BC572A" w:rsidRPr="00441A1B" w:rsidRDefault="00BC572A" w:rsidP="00BC572A">
            <w:pPr>
              <w:spacing w:after="0" w:line="240" w:lineRule="auto"/>
              <w:rPr>
                <w:rFonts w:ascii="Cambria" w:hAnsi="Cambria"/>
                <w:bCs/>
                <w:sz w:val="20"/>
                <w:szCs w:val="20"/>
              </w:rPr>
            </w:pPr>
          </w:p>
          <w:p w14:paraId="7D0D9DAB" w14:textId="77777777" w:rsidR="00BC572A" w:rsidRPr="00441A1B" w:rsidRDefault="00BC572A" w:rsidP="00BC572A">
            <w:pPr>
              <w:spacing w:after="0" w:line="240" w:lineRule="auto"/>
              <w:rPr>
                <w:rFonts w:ascii="Cambria" w:hAnsi="Cambria"/>
                <w:bCs/>
                <w:sz w:val="20"/>
                <w:szCs w:val="20"/>
              </w:rPr>
            </w:pPr>
            <w:r w:rsidRPr="00441A1B">
              <w:rPr>
                <w:rFonts w:ascii="Cambria" w:hAnsi="Cambria"/>
                <w:bCs/>
                <w:color w:val="000000"/>
                <w:sz w:val="20"/>
                <w:szCs w:val="20"/>
              </w:rPr>
              <w:t>Emerson, M., &amp; Blockmans, S. (2025, September 18).</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How to radically simplify and streamline the EU enlargement process</w:t>
            </w:r>
            <w:r w:rsidRPr="00441A1B">
              <w:rPr>
                <w:rFonts w:ascii="Cambria" w:hAnsi="Cambria"/>
                <w:bCs/>
                <w:color w:val="000000"/>
                <w:sz w:val="20"/>
                <w:szCs w:val="20"/>
              </w:rPr>
              <w:t>. Centre for European Policy Studies.</w:t>
            </w:r>
            <w:r w:rsidRPr="00441A1B">
              <w:rPr>
                <w:rStyle w:val="apple-converted-space"/>
                <w:rFonts w:ascii="Cambria" w:hAnsi="Cambria"/>
                <w:bCs/>
                <w:color w:val="000000"/>
                <w:sz w:val="20"/>
                <w:szCs w:val="20"/>
              </w:rPr>
              <w:t> </w:t>
            </w:r>
            <w:hyperlink r:id="rId15" w:tgtFrame="_new" w:history="1">
              <w:r w:rsidRPr="00441A1B">
                <w:rPr>
                  <w:rStyle w:val="Hyperlink"/>
                  <w:rFonts w:ascii="Cambria" w:hAnsi="Cambria"/>
                  <w:bCs/>
                  <w:sz w:val="20"/>
                  <w:szCs w:val="20"/>
                </w:rPr>
                <w:t>https://www.ceps.eu/ceps-publications/how-to-radically-simplify-and-streamline-the-eu-enlargement-process/</w:t>
              </w:r>
            </w:hyperlink>
          </w:p>
          <w:p w14:paraId="0E66B6AA" w14:textId="77777777" w:rsidR="00BC572A" w:rsidRPr="00441A1B" w:rsidRDefault="00BC572A" w:rsidP="00BC572A">
            <w:pPr>
              <w:spacing w:after="0" w:line="240" w:lineRule="auto"/>
              <w:rPr>
                <w:rFonts w:ascii="Cambria" w:hAnsi="Cambria"/>
                <w:bCs/>
                <w:sz w:val="20"/>
                <w:szCs w:val="20"/>
              </w:rPr>
            </w:pPr>
          </w:p>
          <w:p w14:paraId="157A4FE2" w14:textId="77777777" w:rsidR="00BC572A" w:rsidRPr="00441A1B" w:rsidRDefault="00BC572A" w:rsidP="00BC572A">
            <w:pPr>
              <w:spacing w:after="0" w:line="240" w:lineRule="auto"/>
              <w:rPr>
                <w:rFonts w:ascii="Cambria" w:hAnsi="Cambria"/>
                <w:bCs/>
                <w:sz w:val="20"/>
                <w:szCs w:val="20"/>
              </w:rPr>
            </w:pPr>
            <w:r w:rsidRPr="00441A1B">
              <w:rPr>
                <w:rFonts w:ascii="Cambria" w:hAnsi="Cambria"/>
                <w:bCs/>
                <w:color w:val="000000"/>
                <w:sz w:val="20"/>
                <w:szCs w:val="20"/>
              </w:rPr>
              <w:t>Shopov, V. (2025, December 23).</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The next “big bang”: How the EU can fast-track enlargement amid geopolitical tensions</w:t>
            </w:r>
            <w:r w:rsidRPr="00441A1B">
              <w:rPr>
                <w:rFonts w:ascii="Cambria" w:hAnsi="Cambria"/>
                <w:bCs/>
                <w:color w:val="000000"/>
                <w:sz w:val="20"/>
                <w:szCs w:val="20"/>
              </w:rPr>
              <w:t>. European Council on Foreign Relations.</w:t>
            </w:r>
            <w:r w:rsidRPr="00441A1B">
              <w:rPr>
                <w:rStyle w:val="apple-converted-space"/>
                <w:rFonts w:ascii="Cambria" w:hAnsi="Cambria"/>
                <w:bCs/>
                <w:color w:val="000000"/>
                <w:sz w:val="20"/>
                <w:szCs w:val="20"/>
              </w:rPr>
              <w:t> </w:t>
            </w:r>
            <w:hyperlink r:id="rId16" w:tgtFrame="_new" w:history="1">
              <w:r w:rsidRPr="00441A1B">
                <w:rPr>
                  <w:rStyle w:val="Hyperlink"/>
                  <w:rFonts w:ascii="Cambria" w:hAnsi="Cambria"/>
                  <w:bCs/>
                  <w:sz w:val="20"/>
                  <w:szCs w:val="20"/>
                </w:rPr>
                <w:t>https://ecfr.eu/article/the-next-big-bang-how-the-eu-can-fast-track-enlargement-amid-geopolitical-tensions/</w:t>
              </w:r>
            </w:hyperlink>
          </w:p>
          <w:p w14:paraId="10574674" w14:textId="77777777" w:rsidR="00BC572A" w:rsidRPr="00441A1B" w:rsidRDefault="00BC572A" w:rsidP="00BC572A">
            <w:pPr>
              <w:spacing w:after="0" w:line="240" w:lineRule="auto"/>
              <w:rPr>
                <w:rFonts w:ascii="Cambria" w:hAnsi="Cambria"/>
                <w:bCs/>
                <w:sz w:val="20"/>
                <w:szCs w:val="20"/>
              </w:rPr>
            </w:pPr>
          </w:p>
          <w:p w14:paraId="7F369033" w14:textId="77777777" w:rsidR="00BC572A" w:rsidRPr="00441A1B" w:rsidRDefault="00BC572A" w:rsidP="00BC572A">
            <w:pPr>
              <w:spacing w:after="0" w:line="240" w:lineRule="auto"/>
              <w:rPr>
                <w:rFonts w:ascii="Cambria" w:hAnsi="Cambria"/>
                <w:bCs/>
                <w:sz w:val="20"/>
                <w:szCs w:val="20"/>
              </w:rPr>
            </w:pPr>
            <w:r w:rsidRPr="00441A1B">
              <w:rPr>
                <w:rFonts w:ascii="Cambria" w:hAnsi="Cambria"/>
                <w:bCs/>
                <w:color w:val="000000"/>
                <w:sz w:val="20"/>
                <w:szCs w:val="20"/>
              </w:rPr>
              <w:t>Morina, E. (2025, December 18).</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Accelerate the accessions: Why faster is better in EU enlargement policy</w:t>
            </w:r>
            <w:r w:rsidRPr="00441A1B">
              <w:rPr>
                <w:rFonts w:ascii="Cambria" w:hAnsi="Cambria"/>
                <w:bCs/>
                <w:color w:val="000000"/>
                <w:sz w:val="20"/>
                <w:szCs w:val="20"/>
              </w:rPr>
              <w:t>. European Council on Foreign Relations.</w:t>
            </w:r>
            <w:r w:rsidRPr="00441A1B">
              <w:rPr>
                <w:rStyle w:val="apple-converted-space"/>
                <w:rFonts w:ascii="Cambria" w:hAnsi="Cambria"/>
                <w:bCs/>
                <w:color w:val="000000"/>
                <w:sz w:val="20"/>
                <w:szCs w:val="20"/>
              </w:rPr>
              <w:t> </w:t>
            </w:r>
            <w:hyperlink r:id="rId17" w:tgtFrame="_new" w:history="1">
              <w:r w:rsidRPr="00441A1B">
                <w:rPr>
                  <w:rStyle w:val="Hyperlink"/>
                  <w:rFonts w:ascii="Cambria" w:hAnsi="Cambria"/>
                  <w:bCs/>
                  <w:sz w:val="20"/>
                  <w:szCs w:val="20"/>
                </w:rPr>
                <w:t>https://ecfr.eu/publication/accelerate-the-accessions-why-faster-is-better-in-eu-enlargement-policy/</w:t>
              </w:r>
            </w:hyperlink>
          </w:p>
          <w:p w14:paraId="0336ACF3" w14:textId="55C95418" w:rsidR="00BC572A" w:rsidRPr="008E036D" w:rsidRDefault="00BC572A" w:rsidP="00BC572A">
            <w:pPr>
              <w:spacing w:after="0" w:line="240" w:lineRule="auto"/>
              <w:rPr>
                <w:rFonts w:cstheme="minorHAnsi"/>
                <w:shd w:val="clear" w:color="auto" w:fill="FFFFFF"/>
              </w:rPr>
            </w:pPr>
          </w:p>
        </w:tc>
        <w:tc>
          <w:tcPr>
            <w:tcW w:w="3420" w:type="dxa"/>
            <w:vAlign w:val="center"/>
          </w:tcPr>
          <w:p w14:paraId="63958632" w14:textId="4D675FA4" w:rsidR="00BC572A" w:rsidRPr="008E036D" w:rsidRDefault="00BC572A" w:rsidP="00BC572A">
            <w:pPr>
              <w:spacing w:after="0" w:line="240" w:lineRule="auto"/>
              <w:rPr>
                <w:rFonts w:cstheme="minorHAnsi"/>
              </w:rPr>
            </w:pPr>
            <w:r>
              <w:rPr>
                <w:rFonts w:ascii="Cambria" w:hAnsi="Cambria"/>
                <w:sz w:val="20"/>
                <w:szCs w:val="20"/>
              </w:rPr>
              <w:t>Text-based discussions</w:t>
            </w:r>
          </w:p>
        </w:tc>
        <w:tc>
          <w:tcPr>
            <w:tcW w:w="3292" w:type="dxa"/>
            <w:vAlign w:val="center"/>
          </w:tcPr>
          <w:p w14:paraId="2CC2F982" w14:textId="77777777" w:rsidR="00BC572A" w:rsidRPr="00B52DD2" w:rsidRDefault="00BC572A" w:rsidP="00BC572A">
            <w:pPr>
              <w:spacing w:after="0" w:line="240" w:lineRule="auto"/>
              <w:rPr>
                <w:rFonts w:ascii="Times New Roman" w:hAnsi="Times New Roman"/>
              </w:rPr>
            </w:pPr>
            <w:r>
              <w:rPr>
                <w:rFonts w:ascii="Cambria" w:hAnsi="Cambria"/>
                <w:sz w:val="20"/>
                <w:szCs w:val="20"/>
              </w:rPr>
              <w:t>Reading is compulsory</w:t>
            </w:r>
          </w:p>
          <w:p w14:paraId="7A4A148A" w14:textId="77777777" w:rsidR="00BC572A" w:rsidRPr="008E036D" w:rsidRDefault="00BC572A" w:rsidP="00BC572A">
            <w:pPr>
              <w:spacing w:after="0" w:line="240" w:lineRule="auto"/>
              <w:rPr>
                <w:rFonts w:cstheme="minorHAnsi"/>
              </w:rPr>
            </w:pPr>
          </w:p>
        </w:tc>
      </w:tr>
      <w:tr w:rsidR="00BC572A" w:rsidRPr="002A3A93" w14:paraId="19A78A44" w14:textId="77777777" w:rsidTr="00AC12B9">
        <w:tc>
          <w:tcPr>
            <w:tcW w:w="3779" w:type="dxa"/>
          </w:tcPr>
          <w:p w14:paraId="571A8A8D" w14:textId="38CA57D1" w:rsidR="00BC572A" w:rsidRPr="00441A1B" w:rsidRDefault="00BC572A" w:rsidP="00BC572A">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8</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Migration in the EU</w:t>
            </w:r>
          </w:p>
          <w:p w14:paraId="30422874" w14:textId="77777777" w:rsidR="00BC572A" w:rsidRPr="00441A1B" w:rsidRDefault="00BC572A" w:rsidP="00BC572A">
            <w:pPr>
              <w:spacing w:after="0" w:line="240" w:lineRule="auto"/>
              <w:rPr>
                <w:rFonts w:ascii="Cambria" w:hAnsi="Cambria"/>
                <w:bCs/>
                <w:sz w:val="20"/>
                <w:szCs w:val="20"/>
              </w:rPr>
            </w:pPr>
          </w:p>
          <w:p w14:paraId="14EFB7D3" w14:textId="7516ACD3" w:rsidR="00BC572A" w:rsidRPr="008E036D" w:rsidRDefault="00BC572A" w:rsidP="00BC572A">
            <w:pPr>
              <w:spacing w:after="0" w:line="240" w:lineRule="auto"/>
              <w:rPr>
                <w:rFonts w:cstheme="minorHAnsi"/>
              </w:rPr>
            </w:pPr>
            <w:r w:rsidRPr="00441A1B">
              <w:rPr>
                <w:rFonts w:ascii="Cambria" w:hAnsi="Cambria"/>
                <w:bCs/>
                <w:color w:val="000000"/>
                <w:sz w:val="20"/>
                <w:szCs w:val="20"/>
              </w:rPr>
              <w:t>Pascouau, Y. (2021, August 24).</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L’Europe et l’asile: D’un espace de protection à un espace protégé</w:t>
            </w:r>
            <w:r w:rsidRPr="00441A1B">
              <w:rPr>
                <w:rFonts w:ascii="Cambria" w:hAnsi="Cambria"/>
                <w:bCs/>
                <w:color w:val="000000"/>
                <w:sz w:val="20"/>
                <w:szCs w:val="20"/>
              </w:rPr>
              <w:t>. Institut Jacques Delors.</w:t>
            </w:r>
            <w:r w:rsidRPr="00441A1B">
              <w:rPr>
                <w:rStyle w:val="apple-converted-space"/>
                <w:rFonts w:ascii="Cambria" w:hAnsi="Cambria"/>
                <w:bCs/>
                <w:color w:val="000000"/>
                <w:sz w:val="20"/>
                <w:szCs w:val="20"/>
              </w:rPr>
              <w:t> </w:t>
            </w:r>
            <w:r w:rsidRPr="00441A1B">
              <w:rPr>
                <w:rFonts w:ascii="Cambria" w:hAnsi="Cambria"/>
                <w:bCs/>
                <w:sz w:val="20"/>
                <w:szCs w:val="20"/>
              </w:rPr>
              <w:t>https://institutdelors.eu/en/publication/leurope-et-lasile-dun-espace-de-protection-a-un-espace-protege-2/</w:t>
            </w:r>
          </w:p>
        </w:tc>
        <w:tc>
          <w:tcPr>
            <w:tcW w:w="3420" w:type="dxa"/>
            <w:vAlign w:val="center"/>
          </w:tcPr>
          <w:p w14:paraId="4B6BC543" w14:textId="33ABC210" w:rsidR="00BC572A" w:rsidRPr="008E036D" w:rsidRDefault="00BC572A" w:rsidP="00BC572A">
            <w:pPr>
              <w:spacing w:after="0" w:line="240" w:lineRule="auto"/>
              <w:rPr>
                <w:rFonts w:cstheme="minorHAnsi"/>
              </w:rPr>
            </w:pPr>
            <w:r>
              <w:rPr>
                <w:rFonts w:ascii="Cambria" w:hAnsi="Cambria"/>
                <w:sz w:val="20"/>
                <w:szCs w:val="20"/>
              </w:rPr>
              <w:t>Text-based discussions</w:t>
            </w:r>
          </w:p>
        </w:tc>
        <w:tc>
          <w:tcPr>
            <w:tcW w:w="3292" w:type="dxa"/>
            <w:vAlign w:val="center"/>
          </w:tcPr>
          <w:p w14:paraId="0D39A3FE" w14:textId="77777777" w:rsidR="00BC572A" w:rsidRPr="00B52DD2" w:rsidRDefault="00BC572A" w:rsidP="00BC572A">
            <w:pPr>
              <w:spacing w:after="0" w:line="240" w:lineRule="auto"/>
              <w:rPr>
                <w:rFonts w:ascii="Times New Roman" w:hAnsi="Times New Roman"/>
              </w:rPr>
            </w:pPr>
            <w:r>
              <w:rPr>
                <w:rFonts w:ascii="Cambria" w:hAnsi="Cambria"/>
                <w:sz w:val="20"/>
                <w:szCs w:val="20"/>
              </w:rPr>
              <w:t>Reading is compulsory</w:t>
            </w:r>
          </w:p>
          <w:p w14:paraId="007B6A3E" w14:textId="77777777" w:rsidR="00BC572A" w:rsidRPr="008E036D" w:rsidRDefault="00BC572A" w:rsidP="00BC572A">
            <w:pPr>
              <w:spacing w:after="0" w:line="240" w:lineRule="auto"/>
              <w:rPr>
                <w:rFonts w:cstheme="minorHAnsi"/>
              </w:rPr>
            </w:pPr>
          </w:p>
        </w:tc>
      </w:tr>
      <w:tr w:rsidR="00BC572A" w:rsidRPr="002A3A93" w14:paraId="21E0FE68" w14:textId="77777777" w:rsidTr="00AC12B9">
        <w:tc>
          <w:tcPr>
            <w:tcW w:w="3779" w:type="dxa"/>
          </w:tcPr>
          <w:p w14:paraId="53C6D77D" w14:textId="4DDDAF49" w:rsidR="00BC572A" w:rsidRPr="00441A1B" w:rsidRDefault="00BC572A" w:rsidP="00BC572A">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9</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Inequalities in the EU</w:t>
            </w:r>
          </w:p>
          <w:p w14:paraId="0E45BECA" w14:textId="77777777" w:rsidR="00BC572A" w:rsidRPr="00441A1B" w:rsidRDefault="00BC572A" w:rsidP="00BC572A">
            <w:pPr>
              <w:spacing w:after="0" w:line="240" w:lineRule="auto"/>
              <w:rPr>
                <w:rFonts w:ascii="Cambria" w:hAnsi="Cambria"/>
                <w:bCs/>
                <w:sz w:val="20"/>
                <w:szCs w:val="20"/>
              </w:rPr>
            </w:pPr>
          </w:p>
          <w:p w14:paraId="24B4FFD6" w14:textId="77777777" w:rsidR="00BC572A" w:rsidRPr="00441A1B" w:rsidRDefault="00BC572A" w:rsidP="00BC572A">
            <w:pPr>
              <w:spacing w:after="0" w:line="240" w:lineRule="auto"/>
              <w:rPr>
                <w:rFonts w:ascii="Cambria" w:hAnsi="Cambria"/>
                <w:bCs/>
                <w:sz w:val="20"/>
                <w:szCs w:val="20"/>
              </w:rPr>
            </w:pPr>
            <w:r w:rsidRPr="00441A1B">
              <w:rPr>
                <w:rFonts w:ascii="Cambria" w:hAnsi="Cambria"/>
                <w:bCs/>
                <w:color w:val="000000"/>
                <w:sz w:val="20"/>
                <w:szCs w:val="20"/>
              </w:rPr>
              <w:t>Zucman, G. (2026, January 2).</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Decline, what decline? The myth of dying Europe</w:t>
            </w:r>
            <w:r w:rsidRPr="00441A1B">
              <w:rPr>
                <w:rFonts w:ascii="Cambria" w:hAnsi="Cambria"/>
                <w:bCs/>
                <w:color w:val="000000"/>
                <w:sz w:val="20"/>
                <w:szCs w:val="20"/>
              </w:rPr>
              <w:t>. East Anglia Bylines.</w:t>
            </w:r>
            <w:r w:rsidRPr="00441A1B">
              <w:rPr>
                <w:rStyle w:val="apple-converted-space"/>
                <w:rFonts w:ascii="Cambria" w:hAnsi="Cambria"/>
                <w:bCs/>
                <w:color w:val="000000"/>
                <w:sz w:val="20"/>
                <w:szCs w:val="20"/>
              </w:rPr>
              <w:t> </w:t>
            </w:r>
            <w:hyperlink r:id="rId18" w:tgtFrame="_new" w:history="1">
              <w:r w:rsidRPr="00441A1B">
                <w:rPr>
                  <w:rStyle w:val="Hyperlink"/>
                  <w:rFonts w:ascii="Cambria" w:hAnsi="Cambria"/>
                  <w:bCs/>
                  <w:sz w:val="20"/>
                  <w:szCs w:val="20"/>
                </w:rPr>
                <w:t>https://eastangliabylines.co.uk/business/economics/decline-what-decline-the-myth-of-dying-europe/</w:t>
              </w:r>
            </w:hyperlink>
          </w:p>
          <w:p w14:paraId="4B701FF4" w14:textId="398238B9" w:rsidR="00BC572A" w:rsidRPr="008E036D" w:rsidRDefault="00BC572A" w:rsidP="00BC572A">
            <w:pPr>
              <w:spacing w:after="0" w:line="240" w:lineRule="auto"/>
              <w:rPr>
                <w:rFonts w:cstheme="minorHAnsi"/>
              </w:rPr>
            </w:pPr>
          </w:p>
        </w:tc>
        <w:tc>
          <w:tcPr>
            <w:tcW w:w="3420" w:type="dxa"/>
            <w:vAlign w:val="center"/>
          </w:tcPr>
          <w:p w14:paraId="2786C366" w14:textId="13E18D6B" w:rsidR="00BC572A" w:rsidRPr="008E036D" w:rsidRDefault="00BC572A" w:rsidP="00BC572A">
            <w:pPr>
              <w:spacing w:after="0" w:line="240" w:lineRule="auto"/>
              <w:rPr>
                <w:rFonts w:cstheme="minorHAnsi"/>
              </w:rPr>
            </w:pPr>
            <w:r>
              <w:rPr>
                <w:rFonts w:ascii="Cambria" w:hAnsi="Cambria"/>
                <w:sz w:val="20"/>
                <w:szCs w:val="20"/>
              </w:rPr>
              <w:t>Text-based discussions</w:t>
            </w:r>
          </w:p>
        </w:tc>
        <w:tc>
          <w:tcPr>
            <w:tcW w:w="3292" w:type="dxa"/>
            <w:vAlign w:val="center"/>
          </w:tcPr>
          <w:p w14:paraId="6CD2F7AA" w14:textId="77777777" w:rsidR="00BC572A" w:rsidRPr="00B52DD2" w:rsidRDefault="00BC572A" w:rsidP="00BC572A">
            <w:pPr>
              <w:spacing w:after="0" w:line="240" w:lineRule="auto"/>
              <w:rPr>
                <w:rFonts w:ascii="Times New Roman" w:hAnsi="Times New Roman"/>
              </w:rPr>
            </w:pPr>
            <w:r>
              <w:rPr>
                <w:rFonts w:ascii="Cambria" w:hAnsi="Cambria"/>
                <w:sz w:val="20"/>
                <w:szCs w:val="20"/>
              </w:rPr>
              <w:t>Reading is compulsory</w:t>
            </w:r>
          </w:p>
          <w:p w14:paraId="7802E390" w14:textId="77777777" w:rsidR="00BC572A" w:rsidRPr="008E036D" w:rsidRDefault="00BC572A" w:rsidP="00BC572A">
            <w:pPr>
              <w:spacing w:after="0" w:line="240" w:lineRule="auto"/>
              <w:rPr>
                <w:rFonts w:cstheme="minorHAnsi"/>
              </w:rPr>
            </w:pPr>
          </w:p>
        </w:tc>
      </w:tr>
      <w:tr w:rsidR="00BC572A" w:rsidRPr="002A3A93" w14:paraId="5F3D97E3" w14:textId="77777777" w:rsidTr="00AC12B9">
        <w:tc>
          <w:tcPr>
            <w:tcW w:w="3779" w:type="dxa"/>
          </w:tcPr>
          <w:p w14:paraId="2A4DD41B" w14:textId="4B58704D" w:rsidR="00BC572A" w:rsidRPr="00441A1B" w:rsidRDefault="00BC572A" w:rsidP="00BC572A">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10</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A democracy shield for the EU</w:t>
            </w:r>
          </w:p>
          <w:p w14:paraId="06CEDC77" w14:textId="77777777" w:rsidR="00BC572A" w:rsidRPr="00441A1B" w:rsidRDefault="00BC572A" w:rsidP="00BC572A">
            <w:pPr>
              <w:pStyle w:val="NormalWeb"/>
              <w:rPr>
                <w:rFonts w:ascii="Cambria" w:hAnsi="Cambria"/>
                <w:bCs/>
                <w:color w:val="000000"/>
                <w:sz w:val="20"/>
                <w:szCs w:val="20"/>
              </w:rPr>
            </w:pPr>
            <w:r w:rsidRPr="00441A1B">
              <w:rPr>
                <w:rFonts w:ascii="Cambria" w:hAnsi="Cambria"/>
                <w:bCs/>
                <w:color w:val="000000"/>
                <w:sz w:val="20"/>
                <w:szCs w:val="20"/>
              </w:rPr>
              <w:t>Dolan, C. (2025, November 12).</w:t>
            </w:r>
            <w:r w:rsidRPr="00441A1B">
              <w:rPr>
                <w:rStyle w:val="apple-converted-space"/>
                <w:rFonts w:ascii="Cambria" w:hAnsi="Cambria"/>
                <w:bCs/>
                <w:color w:val="000000"/>
                <w:sz w:val="20"/>
                <w:szCs w:val="20"/>
              </w:rPr>
              <w:t> </w:t>
            </w:r>
            <w:r w:rsidRPr="00441A1B">
              <w:rPr>
                <w:rStyle w:val="Emphasis"/>
                <w:rFonts w:ascii="Cambria" w:hAnsi="Cambria"/>
                <w:bCs/>
                <w:sz w:val="20"/>
                <w:szCs w:val="20"/>
              </w:rPr>
              <w:t>Democracy shield: Defense or distraction?</w:t>
            </w:r>
            <w:r w:rsidRPr="00441A1B">
              <w:rPr>
                <w:rStyle w:val="apple-converted-space"/>
                <w:rFonts w:ascii="Cambria" w:hAnsi="Cambria"/>
                <w:bCs/>
                <w:color w:val="000000"/>
                <w:sz w:val="20"/>
                <w:szCs w:val="20"/>
              </w:rPr>
              <w:t> </w:t>
            </w:r>
            <w:r w:rsidRPr="00441A1B">
              <w:rPr>
                <w:rFonts w:ascii="Cambria" w:hAnsi="Cambria"/>
                <w:bCs/>
                <w:color w:val="000000"/>
                <w:sz w:val="20"/>
                <w:szCs w:val="20"/>
              </w:rPr>
              <w:t>European Policy Centre.</w:t>
            </w:r>
            <w:r w:rsidRPr="00441A1B">
              <w:rPr>
                <w:rStyle w:val="apple-converted-space"/>
                <w:rFonts w:ascii="Cambria" w:hAnsi="Cambria"/>
                <w:bCs/>
                <w:color w:val="000000"/>
                <w:sz w:val="20"/>
                <w:szCs w:val="20"/>
              </w:rPr>
              <w:t> </w:t>
            </w:r>
            <w:hyperlink r:id="rId19" w:tgtFrame="_new" w:history="1">
              <w:r w:rsidRPr="00441A1B">
                <w:rPr>
                  <w:rStyle w:val="Hyperlink"/>
                  <w:rFonts w:ascii="Cambria" w:hAnsi="Cambria"/>
                  <w:bCs/>
                  <w:sz w:val="20"/>
                  <w:szCs w:val="20"/>
                </w:rPr>
                <w:t>https://www.epc.eu/publication/democracy-shield-defense-or-distraction/</w:t>
              </w:r>
            </w:hyperlink>
          </w:p>
          <w:p w14:paraId="4F8C8F42" w14:textId="48EC6DBD" w:rsidR="00BC572A" w:rsidRPr="008E036D" w:rsidRDefault="00BC572A" w:rsidP="00BC572A">
            <w:pPr>
              <w:spacing w:after="0" w:line="240" w:lineRule="auto"/>
              <w:rPr>
                <w:rFonts w:cstheme="minorHAnsi"/>
              </w:rPr>
            </w:pPr>
            <w:r w:rsidRPr="00441A1B">
              <w:rPr>
                <w:rFonts w:ascii="Cambria" w:hAnsi="Cambria"/>
                <w:bCs/>
                <w:color w:val="000000"/>
                <w:sz w:val="20"/>
                <w:szCs w:val="20"/>
              </w:rPr>
              <w:t>Bentzen, N. (2026, January 15).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The European Democracy Shield: An overview</w:t>
            </w:r>
            <w:r w:rsidRPr="00441A1B">
              <w:rPr>
                <w:rFonts w:ascii="Cambria" w:hAnsi="Cambria"/>
                <w:bCs/>
                <w:color w:val="000000"/>
                <w:sz w:val="20"/>
                <w:szCs w:val="20"/>
              </w:rPr>
              <w:t xml:space="preserve">. </w:t>
            </w:r>
            <w:r w:rsidRPr="00441A1B">
              <w:rPr>
                <w:rFonts w:ascii="Cambria" w:hAnsi="Cambria"/>
                <w:bCs/>
                <w:color w:val="000000"/>
                <w:sz w:val="20"/>
                <w:szCs w:val="20"/>
              </w:rPr>
              <w:lastRenderedPageBreak/>
              <w:t>European Parliamentary Research Service (EPRS), European Parliament Think Tank.</w:t>
            </w:r>
            <w:r w:rsidRPr="00441A1B">
              <w:rPr>
                <w:rStyle w:val="apple-converted-space"/>
                <w:rFonts w:ascii="Cambria" w:hAnsi="Cambria"/>
                <w:bCs/>
                <w:color w:val="000000"/>
                <w:sz w:val="20"/>
                <w:szCs w:val="20"/>
              </w:rPr>
              <w:t> </w:t>
            </w:r>
            <w:hyperlink r:id="rId20" w:tgtFrame="_new" w:history="1">
              <w:r w:rsidRPr="00441A1B">
                <w:rPr>
                  <w:rStyle w:val="Hyperlink"/>
                  <w:rFonts w:ascii="Cambria" w:hAnsi="Cambria"/>
                  <w:bCs/>
                  <w:sz w:val="20"/>
                  <w:szCs w:val="20"/>
                </w:rPr>
                <w:t>https://epthinktank.eu/2026/01/15/the-european-democracy-shield-an-overview/</w:t>
              </w:r>
            </w:hyperlink>
          </w:p>
        </w:tc>
        <w:tc>
          <w:tcPr>
            <w:tcW w:w="3420" w:type="dxa"/>
            <w:vAlign w:val="center"/>
          </w:tcPr>
          <w:p w14:paraId="5E60A8A6" w14:textId="0751F7F3" w:rsidR="00BC572A" w:rsidRPr="008E036D" w:rsidRDefault="00BC572A" w:rsidP="00BC572A">
            <w:pPr>
              <w:spacing w:after="0" w:line="240" w:lineRule="auto"/>
              <w:rPr>
                <w:rFonts w:cstheme="minorHAnsi"/>
              </w:rPr>
            </w:pPr>
            <w:r>
              <w:rPr>
                <w:rFonts w:ascii="Cambria" w:hAnsi="Cambria"/>
                <w:sz w:val="20"/>
                <w:szCs w:val="20"/>
              </w:rPr>
              <w:lastRenderedPageBreak/>
              <w:t>Text-based discussions</w:t>
            </w:r>
          </w:p>
        </w:tc>
        <w:tc>
          <w:tcPr>
            <w:tcW w:w="3292" w:type="dxa"/>
            <w:vAlign w:val="center"/>
          </w:tcPr>
          <w:p w14:paraId="1F365F39" w14:textId="77777777" w:rsidR="00BC572A" w:rsidRPr="00B52DD2" w:rsidRDefault="00BC572A" w:rsidP="00BC572A">
            <w:pPr>
              <w:spacing w:after="0" w:line="240" w:lineRule="auto"/>
              <w:rPr>
                <w:rFonts w:ascii="Times New Roman" w:hAnsi="Times New Roman"/>
              </w:rPr>
            </w:pPr>
            <w:r>
              <w:rPr>
                <w:rFonts w:ascii="Cambria" w:hAnsi="Cambria"/>
                <w:sz w:val="20"/>
                <w:szCs w:val="20"/>
              </w:rPr>
              <w:t>Reading is compulsory</w:t>
            </w:r>
          </w:p>
          <w:p w14:paraId="3D32C1B2" w14:textId="77777777" w:rsidR="00BC572A" w:rsidRPr="008E036D" w:rsidRDefault="00BC572A" w:rsidP="00BC572A">
            <w:pPr>
              <w:spacing w:after="0" w:line="240" w:lineRule="auto"/>
              <w:rPr>
                <w:rFonts w:cstheme="minorHAnsi"/>
              </w:rPr>
            </w:pPr>
          </w:p>
        </w:tc>
      </w:tr>
      <w:tr w:rsidR="00BC572A" w:rsidRPr="002A3A93" w14:paraId="73AD4BD1" w14:textId="77777777" w:rsidTr="00AC12B9">
        <w:tc>
          <w:tcPr>
            <w:tcW w:w="3779" w:type="dxa"/>
          </w:tcPr>
          <w:p w14:paraId="4D062C26" w14:textId="15EAC3CC" w:rsidR="00BC572A" w:rsidRPr="00441A1B" w:rsidRDefault="00BC572A" w:rsidP="00BC572A">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1</w:t>
            </w:r>
            <w:r>
              <w:rPr>
                <w:rFonts w:ascii="Cambria" w:hAnsi="Cambria"/>
                <w:bCs/>
                <w:sz w:val="20"/>
                <w:szCs w:val="20"/>
                <w:u w:val="single"/>
              </w:rPr>
              <w:t>1</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Trust and identity in the EU</w:t>
            </w:r>
          </w:p>
          <w:p w14:paraId="00D89E47" w14:textId="77777777" w:rsidR="00BC572A" w:rsidRPr="00441A1B" w:rsidRDefault="00BC572A" w:rsidP="00BC572A">
            <w:pPr>
              <w:spacing w:after="0" w:line="240" w:lineRule="auto"/>
              <w:rPr>
                <w:rFonts w:ascii="Cambria" w:hAnsi="Cambria"/>
                <w:bCs/>
                <w:sz w:val="20"/>
                <w:szCs w:val="20"/>
                <w:u w:val="single"/>
              </w:rPr>
            </w:pPr>
          </w:p>
          <w:p w14:paraId="58F8D194" w14:textId="113CAF8F" w:rsidR="00BC572A" w:rsidRPr="008E036D" w:rsidRDefault="00BC572A" w:rsidP="00BC572A">
            <w:pPr>
              <w:spacing w:after="0" w:line="240" w:lineRule="auto"/>
              <w:rPr>
                <w:rFonts w:cstheme="minorHAnsi"/>
              </w:rPr>
            </w:pPr>
            <w:r w:rsidRPr="00441A1B">
              <w:rPr>
                <w:rFonts w:ascii="Cambria" w:hAnsi="Cambria"/>
                <w:bCs/>
                <w:color w:val="000000"/>
                <w:sz w:val="20"/>
                <w:szCs w:val="20"/>
              </w:rPr>
              <w:t>Kizilova, K. (2024, March 11).</w:t>
            </w:r>
            <w:r w:rsidRPr="00441A1B">
              <w:rPr>
                <w:rStyle w:val="apple-converted-space"/>
                <w:rFonts w:ascii="Cambria" w:hAnsi="Cambria"/>
                <w:bCs/>
                <w:color w:val="000000"/>
                <w:sz w:val="20"/>
                <w:szCs w:val="20"/>
              </w:rPr>
              <w:t> </w:t>
            </w:r>
            <w:r w:rsidRPr="00441A1B">
              <w:rPr>
                <w:rStyle w:val="Emphasis"/>
                <w:rFonts w:ascii="Cambria" w:hAnsi="Cambria"/>
                <w:bCs/>
                <w:sz w:val="20"/>
                <w:szCs w:val="20"/>
              </w:rPr>
              <w:t>Trust in the European Union and turnout in European Parliament elections</w:t>
            </w:r>
            <w:r w:rsidRPr="00441A1B">
              <w:rPr>
                <w:rStyle w:val="apple-converted-space"/>
                <w:rFonts w:ascii="Cambria" w:hAnsi="Cambria"/>
                <w:bCs/>
                <w:color w:val="000000"/>
                <w:sz w:val="20"/>
                <w:szCs w:val="20"/>
              </w:rPr>
              <w:t> </w:t>
            </w:r>
            <w:r w:rsidRPr="00441A1B">
              <w:rPr>
                <w:rFonts w:ascii="Cambria" w:hAnsi="Cambria"/>
                <w:bCs/>
                <w:color w:val="000000"/>
                <w:sz w:val="20"/>
                <w:szCs w:val="20"/>
              </w:rPr>
              <w:t>(TRUEDEM project presentation). TRUEDEM: Trust in European Democracies Project.</w:t>
            </w:r>
            <w:r w:rsidRPr="00441A1B">
              <w:rPr>
                <w:rStyle w:val="apple-converted-space"/>
                <w:rFonts w:ascii="Cambria" w:hAnsi="Cambria"/>
                <w:bCs/>
                <w:color w:val="000000"/>
                <w:sz w:val="20"/>
                <w:szCs w:val="20"/>
              </w:rPr>
              <w:t> </w:t>
            </w:r>
            <w:hyperlink r:id="rId21" w:tgtFrame="_new" w:history="1">
              <w:r w:rsidRPr="00441A1B">
                <w:rPr>
                  <w:rStyle w:val="Hyperlink"/>
                  <w:rFonts w:ascii="Cambria" w:hAnsi="Cambria"/>
                  <w:bCs/>
                  <w:sz w:val="20"/>
                  <w:szCs w:val="20"/>
                </w:rPr>
                <w:t>https://www.truedemdata.eu/truedem/TRUEDEM_Kizilova_11_03_2024.pdf</w:t>
              </w:r>
            </w:hyperlink>
          </w:p>
        </w:tc>
        <w:tc>
          <w:tcPr>
            <w:tcW w:w="3420" w:type="dxa"/>
            <w:vAlign w:val="center"/>
          </w:tcPr>
          <w:p w14:paraId="5C8D0D1B" w14:textId="5BC261E8" w:rsidR="00BC572A" w:rsidRPr="008E036D" w:rsidRDefault="00BC572A" w:rsidP="00BC572A">
            <w:pPr>
              <w:spacing w:after="0" w:line="240" w:lineRule="auto"/>
              <w:rPr>
                <w:rFonts w:cstheme="minorHAnsi"/>
              </w:rPr>
            </w:pPr>
            <w:r>
              <w:rPr>
                <w:rFonts w:ascii="Cambria" w:hAnsi="Cambria"/>
                <w:sz w:val="20"/>
                <w:szCs w:val="20"/>
              </w:rPr>
              <w:t>Text-based discussions</w:t>
            </w:r>
          </w:p>
        </w:tc>
        <w:tc>
          <w:tcPr>
            <w:tcW w:w="3292" w:type="dxa"/>
            <w:vAlign w:val="center"/>
          </w:tcPr>
          <w:p w14:paraId="7CE601AC" w14:textId="77777777" w:rsidR="00BC572A" w:rsidRPr="00B52DD2" w:rsidRDefault="00BC572A" w:rsidP="00BC572A">
            <w:pPr>
              <w:spacing w:after="0" w:line="240" w:lineRule="auto"/>
              <w:rPr>
                <w:rFonts w:ascii="Times New Roman" w:hAnsi="Times New Roman"/>
              </w:rPr>
            </w:pPr>
            <w:r>
              <w:rPr>
                <w:rFonts w:ascii="Cambria" w:hAnsi="Cambria"/>
                <w:sz w:val="20"/>
                <w:szCs w:val="20"/>
              </w:rPr>
              <w:t>Reading is compulsory</w:t>
            </w:r>
          </w:p>
          <w:p w14:paraId="2A3CA5B1" w14:textId="77777777" w:rsidR="00BC572A" w:rsidRPr="008E036D" w:rsidRDefault="00BC572A" w:rsidP="00BC572A">
            <w:pPr>
              <w:spacing w:after="0" w:line="240" w:lineRule="auto"/>
              <w:rPr>
                <w:rFonts w:cstheme="minorHAnsi"/>
              </w:rPr>
            </w:pPr>
          </w:p>
        </w:tc>
      </w:tr>
      <w:tr w:rsidR="00BC572A" w:rsidRPr="002A3A93" w14:paraId="2D035647" w14:textId="77777777" w:rsidTr="00AC12B9">
        <w:tc>
          <w:tcPr>
            <w:tcW w:w="3779" w:type="dxa"/>
          </w:tcPr>
          <w:p w14:paraId="44141581" w14:textId="7B8A633E" w:rsidR="00BC572A" w:rsidRPr="00441A1B" w:rsidRDefault="00BC572A" w:rsidP="00BC572A">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1</w:t>
            </w:r>
            <w:r>
              <w:rPr>
                <w:rFonts w:ascii="Cambria" w:hAnsi="Cambria"/>
                <w:bCs/>
                <w:sz w:val="20"/>
                <w:szCs w:val="20"/>
                <w:u w:val="single"/>
              </w:rPr>
              <w:t>2</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Reforming the EU</w:t>
            </w:r>
          </w:p>
          <w:p w14:paraId="5189BCBF" w14:textId="77777777" w:rsidR="00BC572A" w:rsidRPr="00441A1B" w:rsidRDefault="00BC572A" w:rsidP="00BC572A">
            <w:pPr>
              <w:spacing w:after="0" w:line="240" w:lineRule="auto"/>
              <w:rPr>
                <w:rFonts w:ascii="Cambria" w:hAnsi="Cambria"/>
                <w:bCs/>
                <w:sz w:val="20"/>
                <w:szCs w:val="20"/>
                <w:u w:val="single"/>
              </w:rPr>
            </w:pPr>
          </w:p>
          <w:p w14:paraId="2C1ABEC9" w14:textId="77777777" w:rsidR="00BC572A" w:rsidRDefault="00BC572A" w:rsidP="00BC572A">
            <w:pPr>
              <w:spacing w:after="0" w:line="240" w:lineRule="auto"/>
              <w:jc w:val="both"/>
              <w:rPr>
                <w:rFonts w:ascii="Cambria" w:hAnsi="Cambria"/>
                <w:bCs/>
                <w:sz w:val="20"/>
                <w:szCs w:val="20"/>
              </w:rPr>
            </w:pPr>
            <w:r w:rsidRPr="00441A1B">
              <w:rPr>
                <w:rFonts w:ascii="Cambria" w:hAnsi="Cambria"/>
                <w:bCs/>
                <w:color w:val="000000"/>
                <w:sz w:val="20"/>
                <w:szCs w:val="20"/>
              </w:rPr>
              <w:t>Grant, C., &amp; Letta, E. (2025, March 11).</w:t>
            </w:r>
            <w:r w:rsidRPr="00441A1B">
              <w:rPr>
                <w:rStyle w:val="apple-converted-space"/>
                <w:rFonts w:ascii="Cambria" w:hAnsi="Cambria"/>
                <w:bCs/>
                <w:color w:val="000000"/>
                <w:sz w:val="20"/>
                <w:szCs w:val="20"/>
              </w:rPr>
              <w:t> </w:t>
            </w:r>
            <w:r w:rsidRPr="00441A1B">
              <w:rPr>
                <w:rStyle w:val="Emphasis"/>
                <w:rFonts w:ascii="Cambria" w:hAnsi="Cambria"/>
                <w:bCs/>
                <w:sz w:val="20"/>
                <w:szCs w:val="20"/>
              </w:rPr>
              <w:t>Thinking European first and its implications</w:t>
            </w:r>
            <w:r w:rsidRPr="00441A1B">
              <w:rPr>
                <w:rFonts w:ascii="Cambria" w:hAnsi="Cambria"/>
                <w:bCs/>
                <w:color w:val="000000"/>
                <w:sz w:val="20"/>
                <w:szCs w:val="20"/>
              </w:rPr>
              <w:t>. Bruegel.</w:t>
            </w:r>
            <w:r w:rsidRPr="00441A1B">
              <w:rPr>
                <w:rStyle w:val="apple-converted-space"/>
                <w:rFonts w:ascii="Cambria" w:hAnsi="Cambria"/>
                <w:bCs/>
                <w:color w:val="000000"/>
                <w:sz w:val="20"/>
                <w:szCs w:val="20"/>
              </w:rPr>
              <w:t> </w:t>
            </w:r>
            <w:hyperlink r:id="rId22" w:tgtFrame="_new" w:history="1">
              <w:r w:rsidRPr="00441A1B">
                <w:rPr>
                  <w:rStyle w:val="Hyperlink"/>
                  <w:rFonts w:ascii="Cambria" w:hAnsi="Cambria"/>
                  <w:bCs/>
                  <w:sz w:val="20"/>
                  <w:szCs w:val="20"/>
                </w:rPr>
                <w:t>https://www.bruegel.org/analysis/thinking-european-first-and-its-implications</w:t>
              </w:r>
            </w:hyperlink>
          </w:p>
          <w:p w14:paraId="1915DEDE" w14:textId="77777777" w:rsidR="00BC572A" w:rsidRDefault="00BC572A" w:rsidP="00BC572A">
            <w:pPr>
              <w:spacing w:after="0" w:line="240" w:lineRule="auto"/>
              <w:jc w:val="both"/>
              <w:rPr>
                <w:rFonts w:ascii="Cambria" w:hAnsi="Cambria"/>
                <w:bCs/>
                <w:sz w:val="20"/>
                <w:szCs w:val="20"/>
              </w:rPr>
            </w:pPr>
          </w:p>
          <w:p w14:paraId="23D316E4" w14:textId="7713A6D0" w:rsidR="00BC572A" w:rsidRPr="00441A1B" w:rsidRDefault="00BC572A" w:rsidP="00BC572A">
            <w:pPr>
              <w:spacing w:after="0" w:line="240" w:lineRule="auto"/>
              <w:rPr>
                <w:rFonts w:ascii="Cambria" w:hAnsi="Cambria"/>
                <w:bCs/>
                <w:sz w:val="20"/>
                <w:szCs w:val="20"/>
                <w:u w:val="single"/>
              </w:rPr>
            </w:pPr>
            <w:r w:rsidRPr="00F31016">
              <w:rPr>
                <w:rFonts w:ascii="Cambria" w:hAnsi="Cambria"/>
                <w:color w:val="000000"/>
                <w:sz w:val="20"/>
                <w:szCs w:val="20"/>
              </w:rPr>
              <w:t>Zsolt Darvas, Roel Dom, Marie-Sophie Lappe, Pascal Saint-Amans &amp; Armin Steinbach (Bruegel),</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Bigger, better funded and focused on public goods: How to revamp the European Union budget</w:t>
            </w:r>
            <w:r w:rsidRPr="00F31016">
              <w:rPr>
                <w:rStyle w:val="apple-converted-space"/>
                <w:rFonts w:ascii="Cambria" w:hAnsi="Cambria"/>
                <w:color w:val="000000"/>
                <w:sz w:val="20"/>
                <w:szCs w:val="20"/>
              </w:rPr>
              <w:t> </w:t>
            </w:r>
            <w:r w:rsidRPr="00F31016">
              <w:rPr>
                <w:rFonts w:ascii="Cambria" w:hAnsi="Cambria"/>
                <w:color w:val="000000"/>
                <w:sz w:val="20"/>
                <w:szCs w:val="20"/>
              </w:rPr>
              <w:t>(2025)</w:t>
            </w:r>
            <w:r>
              <w:rPr>
                <w:rFonts w:ascii="Cambria" w:hAnsi="Cambria"/>
                <w:color w:val="000000"/>
                <w:sz w:val="20"/>
                <w:szCs w:val="20"/>
              </w:rPr>
              <w:t xml:space="preserve">. </w:t>
            </w:r>
            <w:r w:rsidRPr="00F31016">
              <w:rPr>
                <w:rFonts w:ascii="Cambria" w:hAnsi="Cambria"/>
                <w:color w:val="000000"/>
                <w:sz w:val="20"/>
                <w:szCs w:val="20"/>
              </w:rPr>
              <w:t>https://www.bruegel.org/blueprint/bigger-better-funded-and-focused-public-goods-how-revamp-european-union-budget</w:t>
            </w:r>
          </w:p>
        </w:tc>
        <w:tc>
          <w:tcPr>
            <w:tcW w:w="3420" w:type="dxa"/>
            <w:vAlign w:val="center"/>
          </w:tcPr>
          <w:p w14:paraId="7421E30B" w14:textId="3E736007" w:rsidR="00BC572A" w:rsidRPr="00B52DD2" w:rsidRDefault="00BC572A" w:rsidP="00BC572A">
            <w:pPr>
              <w:spacing w:after="0" w:line="240" w:lineRule="auto"/>
              <w:rPr>
                <w:rFonts w:ascii="Cambria" w:hAnsi="Cambria"/>
                <w:sz w:val="20"/>
                <w:szCs w:val="20"/>
              </w:rPr>
            </w:pPr>
            <w:r>
              <w:rPr>
                <w:rFonts w:ascii="Cambria" w:hAnsi="Cambria"/>
                <w:sz w:val="20"/>
                <w:szCs w:val="20"/>
              </w:rPr>
              <w:t>Text-based discussions</w:t>
            </w:r>
          </w:p>
        </w:tc>
        <w:tc>
          <w:tcPr>
            <w:tcW w:w="3292" w:type="dxa"/>
            <w:vAlign w:val="center"/>
          </w:tcPr>
          <w:p w14:paraId="20ECBCBB" w14:textId="77777777" w:rsidR="00BC572A" w:rsidRPr="00B52DD2" w:rsidRDefault="00BC572A" w:rsidP="00BC572A">
            <w:pPr>
              <w:spacing w:after="0" w:line="240" w:lineRule="auto"/>
              <w:rPr>
                <w:rFonts w:ascii="Times New Roman" w:hAnsi="Times New Roman"/>
              </w:rPr>
            </w:pPr>
            <w:r>
              <w:rPr>
                <w:rFonts w:ascii="Cambria" w:hAnsi="Cambria"/>
                <w:sz w:val="20"/>
                <w:szCs w:val="20"/>
              </w:rPr>
              <w:t>Reading is compulsory</w:t>
            </w:r>
          </w:p>
          <w:p w14:paraId="5310225E" w14:textId="77777777" w:rsidR="00BC572A" w:rsidRPr="008E036D" w:rsidRDefault="00BC572A" w:rsidP="00BC572A">
            <w:pPr>
              <w:spacing w:after="0" w:line="240" w:lineRule="auto"/>
              <w:rPr>
                <w:rFonts w:cstheme="minorHAnsi"/>
              </w:rPr>
            </w:pPr>
          </w:p>
        </w:tc>
      </w:tr>
      <w:tr w:rsidR="00E530BD" w:rsidRPr="00C02345" w14:paraId="462577FA" w14:textId="77777777" w:rsidTr="00AC12B9">
        <w:tc>
          <w:tcPr>
            <w:tcW w:w="10491" w:type="dxa"/>
            <w:gridSpan w:val="3"/>
          </w:tcPr>
          <w:p w14:paraId="6F122BA4" w14:textId="6ECDAAAB" w:rsidR="00E530BD" w:rsidRPr="00C01652" w:rsidRDefault="00E530BD" w:rsidP="00E530BD">
            <w:pPr>
              <w:spacing w:after="0" w:line="240" w:lineRule="auto"/>
              <w:rPr>
                <w:rFonts w:ascii="Cambria" w:hAnsi="Cambria" w:cstheme="minorHAnsi"/>
                <w:sz w:val="20"/>
                <w:szCs w:val="20"/>
              </w:rPr>
            </w:pPr>
            <w:r w:rsidRPr="00C01652">
              <w:rPr>
                <w:rFonts w:ascii="Cambria" w:hAnsi="Cambria" w:cstheme="minorHAnsi"/>
                <w:sz w:val="20"/>
                <w:szCs w:val="20"/>
              </w:rPr>
              <w:t>Bibliography</w:t>
            </w:r>
          </w:p>
          <w:p w14:paraId="2721381A" w14:textId="77777777" w:rsidR="00E530BD" w:rsidRPr="00F31016" w:rsidRDefault="00E530BD" w:rsidP="00E530BD">
            <w:pPr>
              <w:pStyle w:val="pdq2pgselectionanchorcontainer"/>
              <w:rPr>
                <w:rFonts w:ascii="Cambria" w:hAnsi="Cambria"/>
                <w:color w:val="000000"/>
                <w:sz w:val="20"/>
                <w:szCs w:val="20"/>
              </w:rPr>
            </w:pPr>
            <w:r w:rsidRPr="00F31016">
              <w:rPr>
                <w:rFonts w:ascii="Cambria" w:hAnsi="Cambria"/>
                <w:color w:val="000000"/>
                <w:sz w:val="20"/>
                <w:szCs w:val="20"/>
              </w:rPr>
              <w:t>Aydin, T., Galetto, C., Jona Falco, J., Minasian, A., Renner, L., &amp; Segrè, E. (2025, March 31).</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The geopolitics of the European Green Deal: From fragile to strategic dependencies?</w:t>
            </w:r>
            <w:r w:rsidRPr="00F31016">
              <w:rPr>
                <w:rStyle w:val="apple-converted-space"/>
                <w:rFonts w:ascii="Cambria" w:hAnsi="Cambria"/>
                <w:color w:val="000000"/>
                <w:sz w:val="20"/>
                <w:szCs w:val="20"/>
              </w:rPr>
              <w:t> </w:t>
            </w:r>
            <w:r w:rsidRPr="00F31016">
              <w:rPr>
                <w:rFonts w:ascii="Cambria" w:hAnsi="Cambria"/>
                <w:color w:val="000000"/>
                <w:sz w:val="20"/>
                <w:szCs w:val="20"/>
              </w:rPr>
              <w:t>European Chair for Sustainable Development and Climate Transition, Sciences Po.</w:t>
            </w:r>
            <w:r w:rsidRPr="00F31016">
              <w:rPr>
                <w:rStyle w:val="apple-converted-space"/>
                <w:rFonts w:ascii="Cambria" w:hAnsi="Cambria"/>
                <w:color w:val="000000"/>
                <w:sz w:val="20"/>
                <w:szCs w:val="20"/>
              </w:rPr>
              <w:t> </w:t>
            </w:r>
            <w:hyperlink r:id="rId23" w:tgtFrame="_new" w:history="1">
              <w:r w:rsidRPr="00F31016">
                <w:rPr>
                  <w:rStyle w:val="Hyperlink"/>
                  <w:rFonts w:ascii="Cambria" w:hAnsi="Cambria"/>
                  <w:sz w:val="20"/>
                  <w:szCs w:val="20"/>
                </w:rPr>
                <w:t>https://www.sciencespo.fr/chair-sustainable-development/news/the-geopolitics-of-the-european-green-deal-from-fragile-to-strategic-dependencies/</w:t>
              </w:r>
            </w:hyperlink>
          </w:p>
          <w:p w14:paraId="40720B25"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Bentzen, N. (2026, January 15).</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The European Democracy Shield: An overview</w:t>
            </w:r>
            <w:r w:rsidRPr="00F31016">
              <w:rPr>
                <w:rFonts w:ascii="Cambria" w:hAnsi="Cambria"/>
                <w:color w:val="000000"/>
                <w:sz w:val="20"/>
                <w:szCs w:val="20"/>
              </w:rPr>
              <w:t>. European Parliamentary Research Service (EPRS), European Parliament Think Tank.</w:t>
            </w:r>
            <w:r w:rsidRPr="00F31016">
              <w:rPr>
                <w:rStyle w:val="apple-converted-space"/>
                <w:rFonts w:ascii="Cambria" w:hAnsi="Cambria"/>
                <w:color w:val="000000"/>
                <w:sz w:val="20"/>
                <w:szCs w:val="20"/>
              </w:rPr>
              <w:t> </w:t>
            </w:r>
            <w:hyperlink r:id="rId24" w:tgtFrame="_new" w:history="1">
              <w:r w:rsidRPr="00F31016">
                <w:rPr>
                  <w:rStyle w:val="Hyperlink"/>
                  <w:rFonts w:ascii="Cambria" w:hAnsi="Cambria"/>
                  <w:sz w:val="20"/>
                  <w:szCs w:val="20"/>
                </w:rPr>
                <w:t>https://epthinktank.eu/2026/01/15/the-european-democracy-shield-an-overview/</w:t>
              </w:r>
            </w:hyperlink>
          </w:p>
          <w:p w14:paraId="72227224"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Burwell, F., &amp; Propp, K. (2026, January 14).</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Digital sovereignty: Europe’s declaration of independence?</w:t>
            </w:r>
            <w:r w:rsidRPr="00F31016">
              <w:rPr>
                <w:rStyle w:val="apple-converted-space"/>
                <w:rFonts w:ascii="Cambria" w:hAnsi="Cambria"/>
                <w:color w:val="000000"/>
                <w:sz w:val="20"/>
                <w:szCs w:val="20"/>
              </w:rPr>
              <w:t> </w:t>
            </w:r>
            <w:r w:rsidRPr="00F31016">
              <w:rPr>
                <w:rFonts w:ascii="Cambria" w:hAnsi="Cambria"/>
                <w:color w:val="000000"/>
                <w:sz w:val="20"/>
                <w:szCs w:val="20"/>
              </w:rPr>
              <w:t>Atlantic Council.</w:t>
            </w:r>
            <w:r w:rsidRPr="00F31016">
              <w:rPr>
                <w:rStyle w:val="apple-converted-space"/>
                <w:rFonts w:ascii="Cambria" w:hAnsi="Cambria"/>
                <w:color w:val="000000"/>
                <w:sz w:val="20"/>
                <w:szCs w:val="20"/>
              </w:rPr>
              <w:t> </w:t>
            </w:r>
            <w:hyperlink r:id="rId25" w:tgtFrame="_new" w:history="1">
              <w:r w:rsidRPr="00F31016">
                <w:rPr>
                  <w:rStyle w:val="Hyperlink"/>
                  <w:rFonts w:ascii="Cambria" w:hAnsi="Cambria"/>
                  <w:sz w:val="20"/>
                  <w:szCs w:val="20"/>
                </w:rPr>
                <w:t>https://www.atlanticcouncil.org/in-depth-research-reports/report/digital-sovereignty-europes-declaration-of-independence/</w:t>
              </w:r>
            </w:hyperlink>
          </w:p>
          <w:p w14:paraId="2E81B7E7" w14:textId="77777777" w:rsidR="00E530BD" w:rsidRPr="00F31016" w:rsidRDefault="00E530BD" w:rsidP="00E530BD">
            <w:pPr>
              <w:pStyle w:val="NormalWeb"/>
              <w:rPr>
                <w:rFonts w:ascii="Cambria" w:hAnsi="Cambria"/>
                <w:sz w:val="20"/>
                <w:szCs w:val="20"/>
              </w:rPr>
            </w:pPr>
            <w:r w:rsidRPr="00F31016">
              <w:rPr>
                <w:rFonts w:ascii="Cambria" w:hAnsi="Cambria"/>
                <w:color w:val="000000"/>
                <w:sz w:val="20"/>
                <w:szCs w:val="20"/>
              </w:rPr>
              <w:t>Darvas, Z., Dom, R., Lappe, M.-S., Saint-Amans, P., &amp; Steinbach, A. (2025).</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Bigger, better funded and focused on public goods: How to revamp the European Union budget</w:t>
            </w:r>
            <w:r w:rsidRPr="00F31016">
              <w:rPr>
                <w:rFonts w:ascii="Cambria" w:hAnsi="Cambria"/>
                <w:color w:val="000000"/>
                <w:sz w:val="20"/>
                <w:szCs w:val="20"/>
              </w:rPr>
              <w:t>. Bruegel.</w:t>
            </w:r>
            <w:r w:rsidRPr="00F31016">
              <w:rPr>
                <w:rStyle w:val="apple-converted-space"/>
                <w:rFonts w:ascii="Cambria" w:hAnsi="Cambria"/>
                <w:color w:val="000000"/>
                <w:sz w:val="20"/>
                <w:szCs w:val="20"/>
              </w:rPr>
              <w:t> </w:t>
            </w:r>
            <w:hyperlink r:id="rId26" w:tgtFrame="_new" w:history="1">
              <w:r w:rsidRPr="00F31016">
                <w:rPr>
                  <w:rStyle w:val="Hyperlink"/>
                  <w:rFonts w:ascii="Cambria" w:hAnsi="Cambria"/>
                  <w:sz w:val="20"/>
                  <w:szCs w:val="20"/>
                </w:rPr>
                <w:t>https://www.bruegel.org/blueprint/bigger-better-funded-and-focused-public-goods-how-revamp-european-union-budget</w:t>
              </w:r>
            </w:hyperlink>
          </w:p>
          <w:p w14:paraId="4178F741"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Dolan, C. (2025, November 12).</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Democracy shield: Defense or distraction?</w:t>
            </w:r>
            <w:r w:rsidRPr="00F31016">
              <w:rPr>
                <w:rStyle w:val="apple-converted-space"/>
                <w:rFonts w:ascii="Cambria" w:hAnsi="Cambria"/>
                <w:color w:val="000000"/>
                <w:sz w:val="20"/>
                <w:szCs w:val="20"/>
              </w:rPr>
              <w:t> </w:t>
            </w:r>
            <w:r w:rsidRPr="00F31016">
              <w:rPr>
                <w:rFonts w:ascii="Cambria" w:hAnsi="Cambria"/>
                <w:color w:val="000000"/>
                <w:sz w:val="20"/>
                <w:szCs w:val="20"/>
              </w:rPr>
              <w:t>European Policy Centre.</w:t>
            </w:r>
            <w:r w:rsidRPr="00F31016">
              <w:rPr>
                <w:rStyle w:val="apple-converted-space"/>
                <w:rFonts w:ascii="Cambria" w:hAnsi="Cambria"/>
                <w:color w:val="000000"/>
                <w:sz w:val="20"/>
                <w:szCs w:val="20"/>
              </w:rPr>
              <w:t> </w:t>
            </w:r>
            <w:hyperlink r:id="rId27" w:tgtFrame="_new" w:history="1">
              <w:r w:rsidRPr="00F31016">
                <w:rPr>
                  <w:rStyle w:val="Hyperlink"/>
                  <w:rFonts w:ascii="Cambria" w:hAnsi="Cambria"/>
                  <w:sz w:val="20"/>
                  <w:szCs w:val="20"/>
                </w:rPr>
                <w:t>https://www.epc.eu/publication/democracy-shield-defense-or-distraction/</w:t>
              </w:r>
            </w:hyperlink>
          </w:p>
          <w:p w14:paraId="58B24663"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lastRenderedPageBreak/>
              <w:t>Emerson, M., &amp; Blockmans, S. (2025, September 18).</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How to radically simplify and streamline the EU enlargement process</w:t>
            </w:r>
            <w:r w:rsidRPr="00F31016">
              <w:rPr>
                <w:rFonts w:ascii="Cambria" w:hAnsi="Cambria"/>
                <w:color w:val="000000"/>
                <w:sz w:val="20"/>
                <w:szCs w:val="20"/>
              </w:rPr>
              <w:t>. Centre for European Policy Studies.</w:t>
            </w:r>
            <w:r w:rsidRPr="00F31016">
              <w:rPr>
                <w:rStyle w:val="apple-converted-space"/>
                <w:rFonts w:ascii="Cambria" w:hAnsi="Cambria"/>
                <w:color w:val="000000"/>
                <w:sz w:val="20"/>
                <w:szCs w:val="20"/>
              </w:rPr>
              <w:t> </w:t>
            </w:r>
            <w:hyperlink r:id="rId28" w:tgtFrame="_new" w:history="1">
              <w:r w:rsidRPr="00F31016">
                <w:rPr>
                  <w:rStyle w:val="Hyperlink"/>
                  <w:rFonts w:ascii="Cambria" w:hAnsi="Cambria"/>
                  <w:sz w:val="20"/>
                  <w:szCs w:val="20"/>
                </w:rPr>
                <w:t>https://www.ceps.eu/ceps-publications/how-to-radically-simplify-and-streamline-the-eu-enlargement-process/</w:t>
              </w:r>
            </w:hyperlink>
          </w:p>
          <w:p w14:paraId="4A4332A2"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Grant, C., &amp; Letta, E. (2025, March 11).</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Thinking European first and its implications</w:t>
            </w:r>
            <w:r w:rsidRPr="00F31016">
              <w:rPr>
                <w:rFonts w:ascii="Cambria" w:hAnsi="Cambria"/>
                <w:color w:val="000000"/>
                <w:sz w:val="20"/>
                <w:szCs w:val="20"/>
              </w:rPr>
              <w:t>. Bruegel.</w:t>
            </w:r>
            <w:r w:rsidRPr="00F31016">
              <w:rPr>
                <w:rStyle w:val="apple-converted-space"/>
                <w:rFonts w:ascii="Cambria" w:hAnsi="Cambria"/>
                <w:color w:val="000000"/>
                <w:sz w:val="20"/>
                <w:szCs w:val="20"/>
              </w:rPr>
              <w:t> </w:t>
            </w:r>
            <w:hyperlink r:id="rId29" w:tgtFrame="_new" w:history="1">
              <w:r w:rsidRPr="00F31016">
                <w:rPr>
                  <w:rStyle w:val="Hyperlink"/>
                  <w:rFonts w:ascii="Cambria" w:hAnsi="Cambria"/>
                  <w:sz w:val="20"/>
                  <w:szCs w:val="20"/>
                </w:rPr>
                <w:t>https://www.bruegel.org/analysis/thinking-european-first-and-its-implications</w:t>
              </w:r>
            </w:hyperlink>
          </w:p>
          <w:p w14:paraId="0EFA558F"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Grabbe, H., &amp; Moffat, L. L. (2024, September 12).</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A European circular single market for economic security and competitiveness</w:t>
            </w:r>
            <w:r w:rsidRPr="00F31016">
              <w:rPr>
                <w:rStyle w:val="apple-converted-space"/>
                <w:rFonts w:ascii="Cambria" w:hAnsi="Cambria"/>
                <w:color w:val="000000"/>
                <w:sz w:val="20"/>
                <w:szCs w:val="20"/>
              </w:rPr>
              <w:t> </w:t>
            </w:r>
            <w:r w:rsidRPr="00F31016">
              <w:rPr>
                <w:rFonts w:ascii="Cambria" w:hAnsi="Cambria"/>
                <w:color w:val="000000"/>
                <w:sz w:val="20"/>
                <w:szCs w:val="20"/>
              </w:rPr>
              <w:t>(Policy Brief 20/2024). Bruegel.</w:t>
            </w:r>
            <w:r w:rsidRPr="00F31016">
              <w:rPr>
                <w:rStyle w:val="apple-converted-space"/>
                <w:rFonts w:ascii="Cambria" w:hAnsi="Cambria"/>
                <w:color w:val="000000"/>
                <w:sz w:val="20"/>
                <w:szCs w:val="20"/>
              </w:rPr>
              <w:t> </w:t>
            </w:r>
            <w:hyperlink r:id="rId30" w:tgtFrame="_new" w:history="1">
              <w:r w:rsidRPr="00F31016">
                <w:rPr>
                  <w:rStyle w:val="Hyperlink"/>
                  <w:rFonts w:ascii="Cambria" w:hAnsi="Cambria"/>
                  <w:sz w:val="20"/>
                  <w:szCs w:val="20"/>
                </w:rPr>
                <w:t>https://www.bruegel.org/policy-brief/european-circular-single-market-economic-security-and-competitiveness</w:t>
              </w:r>
            </w:hyperlink>
          </w:p>
          <w:p w14:paraId="34B10739"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Kizilova, K. (2024, March 11).</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Trust in the European Union and turnout in European Parliament elections</w:t>
            </w:r>
            <w:r w:rsidRPr="00F31016">
              <w:rPr>
                <w:rStyle w:val="apple-converted-space"/>
                <w:rFonts w:ascii="Cambria" w:hAnsi="Cambria"/>
                <w:color w:val="000000"/>
                <w:sz w:val="20"/>
                <w:szCs w:val="20"/>
              </w:rPr>
              <w:t> </w:t>
            </w:r>
            <w:r w:rsidRPr="00F31016">
              <w:rPr>
                <w:rFonts w:ascii="Cambria" w:hAnsi="Cambria"/>
                <w:color w:val="000000"/>
                <w:sz w:val="20"/>
                <w:szCs w:val="20"/>
              </w:rPr>
              <w:t>[TRUEDEM project presentation]. TRUEDEM: Trust in European Democracies Project.</w:t>
            </w:r>
            <w:r w:rsidRPr="00F31016">
              <w:rPr>
                <w:rStyle w:val="apple-converted-space"/>
                <w:rFonts w:ascii="Cambria" w:hAnsi="Cambria"/>
                <w:color w:val="000000"/>
                <w:sz w:val="20"/>
                <w:szCs w:val="20"/>
              </w:rPr>
              <w:t> </w:t>
            </w:r>
            <w:hyperlink r:id="rId31" w:tgtFrame="_new" w:history="1">
              <w:r w:rsidRPr="00F31016">
                <w:rPr>
                  <w:rStyle w:val="Hyperlink"/>
                  <w:rFonts w:ascii="Cambria" w:hAnsi="Cambria"/>
                  <w:sz w:val="20"/>
                  <w:szCs w:val="20"/>
                </w:rPr>
                <w:t>https://www.truedemdata.eu/truedem/TRUEDEM_Kizilova_11_03_2024.pdf</w:t>
              </w:r>
            </w:hyperlink>
          </w:p>
          <w:p w14:paraId="066ED8FF"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Korteweg, R., &amp; van Wijk, D. (2025, October).</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Raising the standard: How to unlock the geopolitical potential of Europe’s internal market</w:t>
            </w:r>
            <w:r w:rsidRPr="00F31016">
              <w:rPr>
                <w:rStyle w:val="apple-converted-space"/>
                <w:rFonts w:ascii="Cambria" w:hAnsi="Cambria"/>
                <w:color w:val="000000"/>
                <w:sz w:val="20"/>
                <w:szCs w:val="20"/>
              </w:rPr>
              <w:t> </w:t>
            </w:r>
            <w:r w:rsidRPr="00F31016">
              <w:rPr>
                <w:rFonts w:ascii="Cambria" w:hAnsi="Cambria"/>
                <w:color w:val="000000"/>
                <w:sz w:val="20"/>
                <w:szCs w:val="20"/>
              </w:rPr>
              <w:t>(Clingendael Report). Netherlands Institute of International Relations – Clingendael.</w:t>
            </w:r>
            <w:r w:rsidRPr="00F31016">
              <w:rPr>
                <w:rStyle w:val="apple-converted-space"/>
                <w:rFonts w:ascii="Cambria" w:hAnsi="Cambria"/>
                <w:color w:val="000000"/>
                <w:sz w:val="20"/>
                <w:szCs w:val="20"/>
              </w:rPr>
              <w:t> </w:t>
            </w:r>
            <w:hyperlink r:id="rId32" w:tgtFrame="_new" w:history="1">
              <w:r w:rsidRPr="00F31016">
                <w:rPr>
                  <w:rStyle w:val="Hyperlink"/>
                  <w:rFonts w:ascii="Cambria" w:hAnsi="Cambria"/>
                  <w:sz w:val="20"/>
                  <w:szCs w:val="20"/>
                </w:rPr>
                <w:t>https://www.clingendael.org/sites/default/files/2025-10/Report_Raising_the_Standard.pdf</w:t>
              </w:r>
            </w:hyperlink>
          </w:p>
          <w:p w14:paraId="65876675"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Morina, E. (2025, December 18).</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Accelerate the accessions: Why faster is better in EU enlargement policy</w:t>
            </w:r>
            <w:r w:rsidRPr="00F31016">
              <w:rPr>
                <w:rFonts w:ascii="Cambria" w:hAnsi="Cambria"/>
                <w:color w:val="000000"/>
                <w:sz w:val="20"/>
                <w:szCs w:val="20"/>
              </w:rPr>
              <w:t>. European Council on Foreign Relations.</w:t>
            </w:r>
            <w:r w:rsidRPr="00F31016">
              <w:rPr>
                <w:rStyle w:val="apple-converted-space"/>
                <w:rFonts w:ascii="Cambria" w:hAnsi="Cambria"/>
                <w:color w:val="000000"/>
                <w:sz w:val="20"/>
                <w:szCs w:val="20"/>
              </w:rPr>
              <w:t> </w:t>
            </w:r>
            <w:hyperlink r:id="rId33" w:tgtFrame="_new" w:history="1">
              <w:r w:rsidRPr="00F31016">
                <w:rPr>
                  <w:rStyle w:val="Hyperlink"/>
                  <w:rFonts w:ascii="Cambria" w:hAnsi="Cambria"/>
                  <w:sz w:val="20"/>
                  <w:szCs w:val="20"/>
                </w:rPr>
                <w:t>https://ecfr.eu/publication/accelerate-the-accessions-why-faster-is-better-in-eu-enlargement-policy/</w:t>
              </w:r>
            </w:hyperlink>
          </w:p>
          <w:p w14:paraId="16727CB5"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Mustasilta, K., Karjalainen, T., &amp; Tammikko, T. (2025).</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The European Union’s crisis management efforts: Evolution amid a shifting international order and the war in Ukraine</w:t>
            </w:r>
            <w:r w:rsidRPr="00F31016">
              <w:rPr>
                <w:rStyle w:val="apple-converted-space"/>
                <w:rFonts w:ascii="Cambria" w:hAnsi="Cambria"/>
                <w:color w:val="000000"/>
                <w:sz w:val="20"/>
                <w:szCs w:val="20"/>
              </w:rPr>
              <w:t> </w:t>
            </w:r>
            <w:r w:rsidRPr="00F31016">
              <w:rPr>
                <w:rFonts w:ascii="Cambria" w:hAnsi="Cambria"/>
                <w:color w:val="000000"/>
                <w:sz w:val="20"/>
                <w:szCs w:val="20"/>
              </w:rPr>
              <w:t>(FIIA Briefing Paper No. 427). Finnish Institute of International Affairs.</w:t>
            </w:r>
            <w:r w:rsidRPr="00F31016">
              <w:rPr>
                <w:rStyle w:val="apple-converted-space"/>
                <w:rFonts w:ascii="Cambria" w:hAnsi="Cambria"/>
                <w:color w:val="000000"/>
                <w:sz w:val="20"/>
                <w:szCs w:val="20"/>
              </w:rPr>
              <w:t> </w:t>
            </w:r>
            <w:hyperlink r:id="rId34" w:tgtFrame="_new" w:history="1">
              <w:r w:rsidRPr="00F31016">
                <w:rPr>
                  <w:rStyle w:val="Hyperlink"/>
                  <w:rFonts w:ascii="Cambria" w:hAnsi="Cambria"/>
                  <w:sz w:val="20"/>
                  <w:szCs w:val="20"/>
                </w:rPr>
                <w:t>https://fiia.fi/en/publication/the-european-unions-crisis-management-efforts</w:t>
              </w:r>
            </w:hyperlink>
          </w:p>
          <w:p w14:paraId="4126FC4D"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Nizhnikau, R., Karjalainen, T., &amp; Jokela, J. P. (2025, September 1).</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InvigoratEU Policy Paper on demands for European security and defence cooperation in Ukraine after Russia’s invasion (D8.3).</w:t>
            </w:r>
            <w:r w:rsidRPr="00F31016">
              <w:rPr>
                <w:rStyle w:val="apple-converted-space"/>
                <w:rFonts w:ascii="Cambria" w:hAnsi="Cambria"/>
                <w:color w:val="000000"/>
                <w:sz w:val="20"/>
                <w:szCs w:val="20"/>
              </w:rPr>
              <w:t> </w:t>
            </w:r>
            <w:r w:rsidRPr="00F31016">
              <w:rPr>
                <w:rFonts w:ascii="Cambria" w:hAnsi="Cambria"/>
                <w:color w:val="000000"/>
                <w:sz w:val="20"/>
                <w:szCs w:val="20"/>
              </w:rPr>
              <w:t>Finnish Institute of International Affairs.</w:t>
            </w:r>
            <w:r w:rsidRPr="00F31016">
              <w:rPr>
                <w:rStyle w:val="apple-converted-space"/>
                <w:rFonts w:ascii="Cambria" w:hAnsi="Cambria"/>
                <w:color w:val="000000"/>
                <w:sz w:val="20"/>
                <w:szCs w:val="20"/>
              </w:rPr>
              <w:t> </w:t>
            </w:r>
            <w:hyperlink r:id="rId35" w:tgtFrame="_new" w:history="1">
              <w:r w:rsidRPr="00F31016">
                <w:rPr>
                  <w:rStyle w:val="Hyperlink"/>
                  <w:rFonts w:ascii="Cambria" w:hAnsi="Cambria"/>
                  <w:sz w:val="20"/>
                  <w:szCs w:val="20"/>
                </w:rPr>
                <w:t>https://fiia.fi/en/publication/demands-for-european-security-and-defence-cooperation-in-ukraine-after-russias-invasion</w:t>
              </w:r>
            </w:hyperlink>
          </w:p>
          <w:p w14:paraId="0FA9F9EE"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Pascouau, Y. (2021, August 24).</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L’Europe et l’asile: D’un espace de protection à un espace protégé</w:t>
            </w:r>
            <w:r w:rsidRPr="00F31016">
              <w:rPr>
                <w:rFonts w:ascii="Cambria" w:hAnsi="Cambria"/>
                <w:color w:val="000000"/>
                <w:sz w:val="20"/>
                <w:szCs w:val="20"/>
              </w:rPr>
              <w:t>. Institut Jacques Delors.</w:t>
            </w:r>
            <w:r w:rsidRPr="00F31016">
              <w:rPr>
                <w:rStyle w:val="apple-converted-space"/>
                <w:rFonts w:ascii="Cambria" w:hAnsi="Cambria"/>
                <w:color w:val="000000"/>
                <w:sz w:val="20"/>
                <w:szCs w:val="20"/>
              </w:rPr>
              <w:t> </w:t>
            </w:r>
            <w:hyperlink r:id="rId36" w:tgtFrame="_new" w:history="1">
              <w:r w:rsidRPr="00F31016">
                <w:rPr>
                  <w:rStyle w:val="Hyperlink"/>
                  <w:rFonts w:ascii="Cambria" w:hAnsi="Cambria"/>
                  <w:sz w:val="20"/>
                  <w:szCs w:val="20"/>
                </w:rPr>
                <w:t>https://institutdelors.eu/en/publication/leurope-et-lasile-dun-espace-de-protection-a-un-espace-protege-2/</w:t>
              </w:r>
            </w:hyperlink>
          </w:p>
          <w:p w14:paraId="06E5DEC7"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Shopov, V. (2025, December 23).</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The next “big bang”: How the EU can fast-track enlargement amid geopolitical tensions</w:t>
            </w:r>
            <w:r w:rsidRPr="00F31016">
              <w:rPr>
                <w:rFonts w:ascii="Cambria" w:hAnsi="Cambria"/>
                <w:color w:val="000000"/>
                <w:sz w:val="20"/>
                <w:szCs w:val="20"/>
              </w:rPr>
              <w:t>. European Council on Foreign Relations.</w:t>
            </w:r>
            <w:r w:rsidRPr="00F31016">
              <w:rPr>
                <w:rStyle w:val="apple-converted-space"/>
                <w:rFonts w:ascii="Cambria" w:hAnsi="Cambria"/>
                <w:color w:val="000000"/>
                <w:sz w:val="20"/>
                <w:szCs w:val="20"/>
              </w:rPr>
              <w:t> </w:t>
            </w:r>
            <w:hyperlink r:id="rId37" w:tgtFrame="_new" w:history="1">
              <w:r w:rsidRPr="00F31016">
                <w:rPr>
                  <w:rStyle w:val="Hyperlink"/>
                  <w:rFonts w:ascii="Cambria" w:hAnsi="Cambria"/>
                  <w:sz w:val="20"/>
                  <w:szCs w:val="20"/>
                </w:rPr>
                <w:t>https://ecfr.eu/article/the-next-big-bang-how-the-eu-can-fast-track-enlargement-amid-geopolitical-tensions/</w:t>
              </w:r>
            </w:hyperlink>
          </w:p>
          <w:p w14:paraId="3BA03E6D" w14:textId="77777777" w:rsidR="00E530BD" w:rsidRPr="00F31016" w:rsidRDefault="00E530BD" w:rsidP="00E530BD">
            <w:pPr>
              <w:pStyle w:val="NormalWeb"/>
              <w:rPr>
                <w:rFonts w:ascii="Cambria" w:hAnsi="Cambria"/>
                <w:color w:val="000000"/>
                <w:sz w:val="20"/>
                <w:szCs w:val="20"/>
              </w:rPr>
            </w:pPr>
            <w:r w:rsidRPr="00F31016">
              <w:rPr>
                <w:rFonts w:ascii="Cambria" w:hAnsi="Cambria"/>
                <w:color w:val="000000"/>
                <w:sz w:val="20"/>
                <w:szCs w:val="20"/>
              </w:rPr>
              <w:t>Wallander, C. A. (2025, June 24).</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Beware the Europe you wish for: The downsides and dangers of allied independence</w:t>
            </w:r>
            <w:r w:rsidRPr="00F31016">
              <w:rPr>
                <w:rFonts w:ascii="Cambria" w:hAnsi="Cambria"/>
                <w:color w:val="000000"/>
                <w:sz w:val="20"/>
                <w:szCs w:val="20"/>
              </w:rPr>
              <w:t>.</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Foreign Affairs</w:t>
            </w:r>
            <w:r w:rsidRPr="00F31016">
              <w:rPr>
                <w:rFonts w:ascii="Cambria" w:hAnsi="Cambria"/>
                <w:color w:val="000000"/>
                <w:sz w:val="20"/>
                <w:szCs w:val="20"/>
              </w:rPr>
              <w:t>.</w:t>
            </w:r>
            <w:r w:rsidRPr="00F31016">
              <w:rPr>
                <w:rStyle w:val="apple-converted-space"/>
                <w:rFonts w:ascii="Cambria" w:hAnsi="Cambria"/>
                <w:color w:val="000000"/>
                <w:sz w:val="20"/>
                <w:szCs w:val="20"/>
              </w:rPr>
              <w:t> </w:t>
            </w:r>
            <w:hyperlink r:id="rId38" w:tgtFrame="_new" w:history="1">
              <w:r w:rsidRPr="00F31016">
                <w:rPr>
                  <w:rStyle w:val="Hyperlink"/>
                  <w:rFonts w:ascii="Cambria" w:hAnsi="Cambria"/>
                  <w:sz w:val="20"/>
                  <w:szCs w:val="20"/>
                </w:rPr>
                <w:t>https://www.foreignaffairs.com/europe/beware-europe-you-wish-wallander</w:t>
              </w:r>
            </w:hyperlink>
          </w:p>
          <w:p w14:paraId="5A428CEE" w14:textId="0D87B60A" w:rsidR="00E530BD" w:rsidRPr="008E036D" w:rsidRDefault="00E530BD" w:rsidP="00E530BD">
            <w:pPr>
              <w:spacing w:after="0" w:line="240" w:lineRule="auto"/>
              <w:rPr>
                <w:rFonts w:cstheme="minorHAnsi"/>
                <w:b/>
                <w:bCs/>
              </w:rPr>
            </w:pPr>
            <w:r w:rsidRPr="00F31016">
              <w:rPr>
                <w:rFonts w:ascii="Cambria" w:hAnsi="Cambria"/>
                <w:color w:val="000000"/>
                <w:sz w:val="20"/>
                <w:szCs w:val="20"/>
              </w:rPr>
              <w:t>Zucman, G. (2026, January 2).</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Decline, what decline? The myth of dying Europe</w:t>
            </w:r>
            <w:r w:rsidRPr="00F31016">
              <w:rPr>
                <w:rFonts w:ascii="Cambria" w:hAnsi="Cambria"/>
                <w:color w:val="000000"/>
                <w:sz w:val="20"/>
                <w:szCs w:val="20"/>
              </w:rPr>
              <w:t>. East Anglia Bylines.</w:t>
            </w:r>
            <w:r w:rsidRPr="00F31016">
              <w:rPr>
                <w:rStyle w:val="apple-converted-space"/>
                <w:rFonts w:ascii="Cambria" w:hAnsi="Cambria"/>
                <w:color w:val="000000"/>
                <w:sz w:val="20"/>
                <w:szCs w:val="20"/>
              </w:rPr>
              <w:t> </w:t>
            </w:r>
            <w:hyperlink r:id="rId39" w:tgtFrame="_new" w:history="1">
              <w:r w:rsidRPr="00F31016">
                <w:rPr>
                  <w:rStyle w:val="Hyperlink"/>
                  <w:rFonts w:ascii="Cambria" w:hAnsi="Cambria"/>
                  <w:sz w:val="20"/>
                  <w:szCs w:val="20"/>
                </w:rPr>
                <w:t>https://eastangliabylines.co.uk/business/economics/decline-what-decline-the-myth-of-dying-europe/</w:t>
              </w:r>
            </w:hyperlink>
          </w:p>
        </w:tc>
      </w:tr>
    </w:tbl>
    <w:p w14:paraId="267892C8" w14:textId="77777777" w:rsidR="005125BA" w:rsidRDefault="005125BA" w:rsidP="00357598">
      <w:pPr>
        <w:spacing w:after="0"/>
        <w:ind w:hanging="425"/>
        <w:rPr>
          <w:rFonts w:ascii="Cambria" w:hAnsi="Cambria"/>
          <w:b/>
          <w:sz w:val="20"/>
          <w:szCs w:val="20"/>
        </w:rPr>
      </w:pPr>
    </w:p>
    <w:p w14:paraId="7AA3B7C7"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34D8B451" w14:textId="77777777" w:rsidTr="00291FB6">
        <w:tc>
          <w:tcPr>
            <w:tcW w:w="2269" w:type="dxa"/>
            <w:vAlign w:val="center"/>
          </w:tcPr>
          <w:p w14:paraId="75CE452D"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0540C12B"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203F3ECD"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35591072"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199DE19B" w14:textId="77777777" w:rsidTr="00291FB6">
        <w:tc>
          <w:tcPr>
            <w:tcW w:w="2269" w:type="dxa"/>
            <w:vMerge w:val="restart"/>
            <w:vAlign w:val="center"/>
          </w:tcPr>
          <w:p w14:paraId="788A452A" w14:textId="77777777" w:rsidR="00147217" w:rsidRDefault="00000000">
            <w:pPr>
              <w:spacing w:after="0" w:line="240" w:lineRule="auto"/>
            </w:pPr>
            <w:r>
              <w:rPr>
                <w:rFonts w:ascii="Cambria" w:hAnsi="Cambria"/>
                <w:sz w:val="20"/>
              </w:rPr>
              <w:t>9.4. Course</w:t>
            </w:r>
          </w:p>
        </w:tc>
        <w:tc>
          <w:tcPr>
            <w:tcW w:w="3969" w:type="dxa"/>
            <w:vAlign w:val="center"/>
          </w:tcPr>
          <w:p w14:paraId="6B8C4FDF" w14:textId="77777777" w:rsidR="00000000" w:rsidRPr="008E036D" w:rsidRDefault="00000000" w:rsidP="00EE0E87">
            <w:pPr>
              <w:spacing w:after="0" w:line="240" w:lineRule="auto"/>
              <w:rPr>
                <w:rFonts w:cstheme="minorHAnsi"/>
              </w:rPr>
            </w:pPr>
            <w:r w:rsidRPr="008E036D">
              <w:rPr>
                <w:rFonts w:cstheme="minorHAnsi"/>
                <w:sz w:val="20"/>
                <w:szCs w:val="20"/>
              </w:rPr>
              <w:t xml:space="preserve">Evaluation of expert knowledge taught in class. </w:t>
            </w:r>
          </w:p>
        </w:tc>
        <w:tc>
          <w:tcPr>
            <w:tcW w:w="2552" w:type="dxa"/>
            <w:vAlign w:val="center"/>
          </w:tcPr>
          <w:p w14:paraId="00E10258" w14:textId="77777777" w:rsidR="00000000" w:rsidRPr="008E036D" w:rsidRDefault="00000000" w:rsidP="00EE0E87">
            <w:pPr>
              <w:spacing w:after="0" w:line="240" w:lineRule="auto"/>
              <w:rPr>
                <w:rFonts w:cstheme="minorHAnsi"/>
              </w:rPr>
            </w:pPr>
            <w:r w:rsidRPr="008E036D">
              <w:rPr>
                <w:rFonts w:cstheme="minorHAnsi"/>
                <w:sz w:val="20"/>
                <w:szCs w:val="20"/>
              </w:rPr>
              <w:t>Oral examination based on two randomly assigned question</w:t>
            </w:r>
          </w:p>
        </w:tc>
        <w:tc>
          <w:tcPr>
            <w:tcW w:w="1702" w:type="dxa"/>
            <w:vAlign w:val="center"/>
          </w:tcPr>
          <w:p w14:paraId="5323A5D6" w14:textId="77777777" w:rsidR="00000000" w:rsidRPr="008E036D" w:rsidRDefault="00000000" w:rsidP="00EE0E87">
            <w:pPr>
              <w:spacing w:after="0" w:line="240" w:lineRule="auto"/>
              <w:jc w:val="center"/>
              <w:rPr>
                <w:rFonts w:cstheme="minorHAnsi"/>
              </w:rPr>
            </w:pPr>
            <w:r w:rsidRPr="008E036D">
              <w:rPr>
                <w:rFonts w:cstheme="minorHAnsi"/>
                <w:sz w:val="20"/>
                <w:szCs w:val="20"/>
              </w:rPr>
              <w:t>60%</w:t>
            </w:r>
          </w:p>
        </w:tc>
      </w:tr>
      <w:tr w:rsidR="00357598" w:rsidRPr="0039068A" w14:paraId="2DA8D123" w14:textId="77777777" w:rsidTr="00291FB6">
        <w:tc>
          <w:tcPr>
            <w:tcW w:w="2269" w:type="dxa"/>
            <w:vMerge w:val="restart"/>
            <w:vAlign w:val="center"/>
          </w:tcPr>
          <w:p w14:paraId="58E4B499" w14:textId="77777777" w:rsidR="00147217" w:rsidRDefault="00000000">
            <w:pPr>
              <w:spacing w:after="0" w:line="240" w:lineRule="auto"/>
            </w:pPr>
            <w:r>
              <w:rPr>
                <w:rFonts w:ascii="Cambria" w:hAnsi="Cambria"/>
                <w:sz w:val="20"/>
              </w:rPr>
              <w:lastRenderedPageBreak/>
              <w:t>9.5. Seminar/ laboratory</w:t>
            </w:r>
          </w:p>
        </w:tc>
        <w:tc>
          <w:tcPr>
            <w:tcW w:w="3969" w:type="dxa"/>
            <w:vAlign w:val="center"/>
          </w:tcPr>
          <w:p w14:paraId="58F141C0" w14:textId="77777777" w:rsidR="00000000" w:rsidRPr="008E036D" w:rsidRDefault="00000000" w:rsidP="00EE0E87">
            <w:pPr>
              <w:spacing w:after="0" w:line="240" w:lineRule="auto"/>
              <w:rPr>
                <w:rFonts w:cstheme="minorHAnsi"/>
              </w:rPr>
            </w:pPr>
            <w:r w:rsidRPr="008E036D">
              <w:rPr>
                <w:rFonts w:cstheme="minorHAnsi"/>
                <w:sz w:val="20"/>
                <w:szCs w:val="20"/>
              </w:rPr>
              <w:t>Work in the seminars</w:t>
            </w:r>
          </w:p>
        </w:tc>
        <w:tc>
          <w:tcPr>
            <w:tcW w:w="2552" w:type="dxa"/>
            <w:vAlign w:val="center"/>
          </w:tcPr>
          <w:p w14:paraId="3A74395E" w14:textId="77777777" w:rsidR="00000000" w:rsidRPr="008E036D" w:rsidRDefault="00000000" w:rsidP="00EE0E87">
            <w:pPr>
              <w:spacing w:after="0" w:line="240" w:lineRule="auto"/>
              <w:rPr>
                <w:rFonts w:cstheme="minorHAnsi"/>
              </w:rPr>
            </w:pPr>
            <w:r w:rsidRPr="008E036D">
              <w:rPr>
                <w:rFonts w:cstheme="minorHAnsi"/>
                <w:sz w:val="20"/>
                <w:szCs w:val="20"/>
              </w:rPr>
              <w:t>Active participation based on readings and seminar tasks will be graded with 1 point for each seminar</w:t>
            </w:r>
          </w:p>
        </w:tc>
        <w:tc>
          <w:tcPr>
            <w:tcW w:w="1702" w:type="dxa"/>
            <w:vAlign w:val="center"/>
          </w:tcPr>
          <w:p w14:paraId="17C9A417" w14:textId="77777777" w:rsidR="00000000" w:rsidRPr="008E036D" w:rsidRDefault="00000000" w:rsidP="00EE0E87">
            <w:pPr>
              <w:spacing w:after="0" w:line="240" w:lineRule="auto"/>
              <w:jc w:val="center"/>
              <w:rPr>
                <w:rFonts w:cstheme="minorHAnsi"/>
              </w:rPr>
            </w:pPr>
            <w:r w:rsidRPr="008E036D">
              <w:rPr>
                <w:rFonts w:cstheme="minorHAnsi"/>
                <w:sz w:val="20"/>
                <w:szCs w:val="20"/>
              </w:rPr>
              <w:t>40%</w:t>
            </w:r>
          </w:p>
        </w:tc>
      </w:tr>
      <w:tr w:rsidR="00357598" w:rsidRPr="0039068A" w14:paraId="06F65A1D" w14:textId="77777777" w:rsidTr="00A5032D">
        <w:tc>
          <w:tcPr>
            <w:tcW w:w="10492" w:type="dxa"/>
            <w:gridSpan w:val="4"/>
            <w:vAlign w:val="center"/>
          </w:tcPr>
          <w:p w14:paraId="406BE9D5"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6F21F065" w14:textId="77777777" w:rsidTr="00A5032D">
        <w:tc>
          <w:tcPr>
            <w:tcW w:w="10492" w:type="dxa"/>
            <w:gridSpan w:val="4"/>
          </w:tcPr>
          <w:p w14:paraId="33EBB3D2" w14:textId="77777777" w:rsidR="00000000" w:rsidRPr="008E036D" w:rsidRDefault="00000000" w:rsidP="008E036D">
            <w:pPr>
              <w:spacing w:after="0" w:line="240" w:lineRule="auto"/>
              <w:rPr>
                <w:rFonts w:cstheme="minorHAnsi"/>
              </w:rPr>
            </w:pPr>
            <w:r w:rsidRPr="008E036D">
              <w:rPr>
                <w:rFonts w:cstheme="minorHAnsi"/>
                <w:sz w:val="20"/>
                <w:szCs w:val="20"/>
              </w:rPr>
              <w:t xml:space="preserve">Course attendance is not compulsory but </w:t>
            </w:r>
            <w:r w:rsidRPr="008E036D">
              <w:rPr>
                <w:rFonts w:cstheme="minorHAnsi"/>
                <w:sz w:val="20"/>
                <w:szCs w:val="20"/>
              </w:rPr>
              <w:t>strongly</w:t>
            </w:r>
            <w:r w:rsidRPr="008E036D">
              <w:rPr>
                <w:rFonts w:cstheme="minorHAnsi"/>
                <w:sz w:val="20"/>
                <w:szCs w:val="20"/>
              </w:rPr>
              <w:t xml:space="preserve"> recommended. </w:t>
            </w:r>
          </w:p>
          <w:p w14:paraId="745E5C59" w14:textId="77777777" w:rsidR="00000000" w:rsidRPr="008E036D" w:rsidRDefault="00000000" w:rsidP="008E036D">
            <w:pPr>
              <w:spacing w:after="0" w:line="240" w:lineRule="auto"/>
              <w:rPr>
                <w:rFonts w:cstheme="minorHAnsi"/>
              </w:rPr>
            </w:pPr>
          </w:p>
          <w:p w14:paraId="6309B319" w14:textId="77777777" w:rsidR="00000000" w:rsidRPr="008E036D" w:rsidRDefault="00000000" w:rsidP="008E036D">
            <w:pPr>
              <w:spacing w:after="0" w:line="240" w:lineRule="auto"/>
              <w:rPr>
                <w:rFonts w:cstheme="minorHAnsi"/>
                <w:shd w:val="clear" w:color="auto" w:fill="FFFFFF"/>
              </w:rPr>
            </w:pPr>
            <w:r w:rsidRPr="008E036D">
              <w:rPr>
                <w:rFonts w:cstheme="minorHAnsi"/>
                <w:sz w:val="20"/>
                <w:szCs w:val="20"/>
              </w:rPr>
              <w:t xml:space="preserve">Any academic paper relies on information with proper sources cited according to scientific rules. </w:t>
            </w:r>
            <w:r w:rsidRPr="008E036D">
              <w:rPr>
                <w:rFonts w:cstheme="minorHAnsi"/>
                <w:sz w:val="20"/>
                <w:szCs w:val="20"/>
              </w:rPr>
              <w:t>Using one of the existing bibliographical styles (APA, MLA, Chicago, etc.) is strongly recommended</w:t>
            </w:r>
            <w:r w:rsidRPr="008E036D">
              <w:rPr>
                <w:rFonts w:cstheme="minorHAnsi"/>
                <w:sz w:val="20"/>
                <w:szCs w:val="20"/>
              </w:rPr>
              <w:t>. The Department of Political</w:t>
            </w:r>
            <w:r w:rsidRPr="008E036D">
              <w:rPr>
                <w:rFonts w:cstheme="minorHAnsi"/>
                <w:sz w:val="20"/>
                <w:szCs w:val="20"/>
                <w:shd w:val="clear" w:color="auto" w:fill="FFFFFF"/>
              </w:rPr>
              <w:t xml:space="preserve"> Sciences recommends using the</w:t>
            </w:r>
            <w:r w:rsidRPr="008E036D">
              <w:rPr>
                <w:rFonts w:cstheme="minorHAnsi"/>
                <w:sz w:val="20"/>
                <w:szCs w:val="20"/>
                <w:shd w:val="clear" w:color="auto" w:fill="FFFFFF"/>
              </w:rPr>
              <w:t xml:space="preserve"> </w:t>
            </w:r>
            <w:hyperlink r:id="rId40" w:tgtFrame="_blank" w:history="1">
              <w:r w:rsidRPr="008E036D">
                <w:rPr>
                  <w:rStyle w:val="Hyperlink"/>
                  <w:rFonts w:cstheme="minorHAnsi"/>
                  <w:color w:val="auto"/>
                  <w:sz w:val="20"/>
                  <w:szCs w:val="20"/>
                  <w:shd w:val="clear" w:color="auto" w:fill="FFFFFF"/>
                </w:rPr>
                <w:t>APSA</w:t>
              </w:r>
            </w:hyperlink>
            <w:r w:rsidRPr="008E036D">
              <w:rPr>
                <w:rFonts w:cstheme="minorHAnsi"/>
                <w:sz w:val="20"/>
                <w:szCs w:val="20"/>
                <w:shd w:val="clear" w:color="auto" w:fill="FFFFFF"/>
              </w:rPr>
              <w:t xml:space="preserve"> </w:t>
            </w:r>
            <w:r w:rsidRPr="008E036D">
              <w:rPr>
                <w:rFonts w:cstheme="minorHAnsi"/>
                <w:sz w:val="20"/>
                <w:szCs w:val="20"/>
                <w:shd w:val="clear" w:color="auto" w:fill="FFFFFF"/>
              </w:rPr>
              <w:t xml:space="preserve">style (American Political Science Association). If any other style is preferred, it should be used consistently throughout the paper. Evaluation of the papers will </w:t>
            </w:r>
            <w:r w:rsidRPr="008E036D">
              <w:rPr>
                <w:rFonts w:cstheme="minorHAnsi"/>
                <w:sz w:val="20"/>
                <w:szCs w:val="20"/>
                <w:shd w:val="clear" w:color="auto" w:fill="FFFFFF"/>
              </w:rPr>
              <w:t>also consider</w:t>
            </w:r>
            <w:r w:rsidRPr="008E036D">
              <w:rPr>
                <w:rFonts w:cstheme="minorHAnsi"/>
                <w:sz w:val="20"/>
                <w:szCs w:val="20"/>
                <w:shd w:val="clear" w:color="auto" w:fill="FFFFFF"/>
              </w:rPr>
              <w:t xml:space="preserve"> the correct use of the bibliographical style.</w:t>
            </w:r>
          </w:p>
          <w:p w14:paraId="0628AE29" w14:textId="77777777" w:rsidR="00000000" w:rsidRPr="008E036D" w:rsidRDefault="00000000" w:rsidP="00EE0E87">
            <w:pPr>
              <w:spacing w:after="0" w:line="240" w:lineRule="auto"/>
              <w:jc w:val="both"/>
              <w:rPr>
                <w:rFonts w:cstheme="minorHAnsi"/>
                <w:shd w:val="clear" w:color="auto" w:fill="FFFFFF"/>
              </w:rPr>
            </w:pPr>
          </w:p>
          <w:p w14:paraId="61AE19D5" w14:textId="77777777" w:rsidR="00000000" w:rsidRPr="008E036D" w:rsidRDefault="00000000" w:rsidP="00EE0E87">
            <w:pPr>
              <w:spacing w:after="0" w:line="240" w:lineRule="auto"/>
              <w:jc w:val="both"/>
              <w:rPr>
                <w:rFonts w:cstheme="minorHAnsi"/>
              </w:rPr>
            </w:pPr>
            <w:r w:rsidRPr="008E036D">
              <w:rPr>
                <w:rFonts w:cstheme="minorHAnsi"/>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14:paraId="041041BD" w14:textId="77777777" w:rsidR="00147217" w:rsidRDefault="00147217">
      <w:pPr>
        <w:keepNext/>
        <w:pageBreakBefore/>
        <w:spacing w:after="0"/>
      </w:pPr>
    </w:p>
    <w:p w14:paraId="7EB6AA7A"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5685056F" w14:textId="77777777" w:rsidTr="00812545">
        <w:trPr>
          <w:trHeight w:val="1037"/>
        </w:trPr>
        <w:tc>
          <w:tcPr>
            <w:tcW w:w="1165" w:type="dxa"/>
            <w:vAlign w:val="center"/>
          </w:tcPr>
          <w:p w14:paraId="40B6FAB7"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6BD03A4"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5C417727"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11F0E598" w14:textId="77777777" w:rsidTr="007C07D8">
        <w:trPr>
          <w:trHeight w:val="1124"/>
        </w:trPr>
        <w:tc>
          <w:tcPr>
            <w:tcW w:w="1165" w:type="dxa"/>
            <w:vAlign w:val="center"/>
          </w:tcPr>
          <w:p w14:paraId="482E4D3D"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3355F5CD"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03C38EBF"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0047DDA1"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0E0B5B"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15D67FCC"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0F17FE3"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2BC40BF2"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1B0B0CA5"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F893308" w14:textId="77777777" w:rsidTr="007C07D8">
        <w:trPr>
          <w:trHeight w:val="397"/>
        </w:trPr>
        <w:tc>
          <w:tcPr>
            <w:tcW w:w="1165" w:type="dxa"/>
            <w:vAlign w:val="center"/>
          </w:tcPr>
          <w:p w14:paraId="61A4AEEA"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0C5BB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38" type="#_x0000_t75" style="width:13.8pt;height:18.45pt;visibility:visible;mso-wrap-style:square">
                  <v:imagedata r:id="rId51" o:title=""/>
                  <o:lock v:ext="edit" rotation="t" cropping="t" verticies="t"/>
                </v:shape>
              </w:pict>
            </w:r>
          </w:p>
        </w:tc>
        <w:tc>
          <w:tcPr>
            <w:tcW w:w="1166" w:type="dxa"/>
            <w:gridSpan w:val="2"/>
            <w:vAlign w:val="center"/>
          </w:tcPr>
          <w:p w14:paraId="05D737C7"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3C9B957D">
                <v:shape id="Picture 2" o:spid="_x0000_i1037" type="#_x0000_t75" style="width:13.8pt;height:18.45pt;visibility:visible;mso-wrap-style:square">
                  <v:imagedata r:id="rId51" o:title=""/>
                  <o:lock v:ext="edit" rotation="t" cropping="t" verticies="t"/>
                </v:shape>
              </w:pict>
            </w:r>
          </w:p>
        </w:tc>
        <w:tc>
          <w:tcPr>
            <w:tcW w:w="1166" w:type="dxa"/>
            <w:vAlign w:val="center"/>
          </w:tcPr>
          <w:p w14:paraId="2C838EEF"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67761BBD">
                <v:shape id="Picture 3" o:spid="_x0000_i1036" type="#_x0000_t75" style="width:13.8pt;height:18.45pt;visibility:visible;mso-wrap-style:square">
                  <v:imagedata r:id="rId51" o:title=""/>
                  <o:lock v:ext="edit" rotation="t" cropping="t" verticies="t"/>
                </v:shape>
              </w:pict>
            </w:r>
          </w:p>
        </w:tc>
        <w:tc>
          <w:tcPr>
            <w:tcW w:w="1165" w:type="dxa"/>
            <w:vAlign w:val="center"/>
          </w:tcPr>
          <w:p w14:paraId="4E0F1ECC"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351D45E3"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1288A8D4">
                <v:shape id="Picture 4" o:spid="_x0000_i1035" type="#_x0000_t75" style="width:13.8pt;height:18.45pt;visibility:visible;mso-wrap-style:square">
                  <v:imagedata r:id="rId51" o:title=""/>
                  <o:lock v:ext="edit" rotation="t" cropping="t" verticies="t"/>
                </v:shape>
              </w:pict>
            </w:r>
          </w:p>
        </w:tc>
        <w:tc>
          <w:tcPr>
            <w:tcW w:w="1166" w:type="dxa"/>
            <w:vAlign w:val="center"/>
          </w:tcPr>
          <w:p w14:paraId="3F0EDDC5"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08DA1853">
                <v:shape id="Picture 5" o:spid="_x0000_i1034" type="#_x0000_t75" style="width:13.8pt;height:18.45pt;visibility:visible;mso-wrap-style:square">
                  <v:imagedata r:id="rId51" o:title=""/>
                  <o:lock v:ext="edit" rotation="t" cropping="t" verticies="t"/>
                </v:shape>
              </w:pict>
            </w:r>
          </w:p>
        </w:tc>
        <w:tc>
          <w:tcPr>
            <w:tcW w:w="1165" w:type="dxa"/>
            <w:vAlign w:val="center"/>
          </w:tcPr>
          <w:p w14:paraId="385EB345"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1793A188">
                <v:shape id="Picture 6" o:spid="_x0000_i1033" type="#_x0000_t75" style="width:13.8pt;height:18.45pt;visibility:visible;mso-wrap-style:square">
                  <v:imagedata r:id="rId51" o:title=""/>
                  <o:lock v:ext="edit" rotation="t" cropping="t" verticies="t"/>
                </v:shape>
              </w:pict>
            </w:r>
          </w:p>
        </w:tc>
        <w:tc>
          <w:tcPr>
            <w:tcW w:w="1166" w:type="dxa"/>
            <w:vAlign w:val="center"/>
          </w:tcPr>
          <w:p w14:paraId="24103CB4"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53FC03D5">
                <v:shape id="Picture 7" o:spid="_x0000_i1032" type="#_x0000_t75" style="width:13.8pt;height:18.45pt;visibility:visible;mso-wrap-style:square">
                  <v:imagedata r:id="rId51" o:title=""/>
                  <o:lock v:ext="edit" rotation="t" cropping="t" verticies="t"/>
                </v:shape>
              </w:pict>
            </w:r>
          </w:p>
        </w:tc>
        <w:tc>
          <w:tcPr>
            <w:tcW w:w="1166" w:type="dxa"/>
            <w:vAlign w:val="center"/>
          </w:tcPr>
          <w:p w14:paraId="1DF588AE"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3E1AE43C">
                <v:shape id="Picture 8" o:spid="_x0000_i1031" type="#_x0000_t75" style="width:13.8pt;height:18.45pt;visibility:visible;mso-wrap-style:square">
                  <v:imagedata r:id="rId51" o:title=""/>
                  <o:lock v:ext="edit" rotation="t" cropping="t" verticies="t"/>
                </v:shape>
              </w:pict>
            </w:r>
          </w:p>
        </w:tc>
      </w:tr>
      <w:tr w:rsidR="003A7089" w:rsidRPr="00E027F6" w14:paraId="037F1876" w14:textId="77777777" w:rsidTr="007C07D8">
        <w:trPr>
          <w:trHeight w:val="1124"/>
        </w:trPr>
        <w:tc>
          <w:tcPr>
            <w:tcW w:w="1165" w:type="dxa"/>
            <w:vAlign w:val="center"/>
          </w:tcPr>
          <w:p w14:paraId="7D77A01B"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714622B8"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2AAED0E0"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0F8FE7BC"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1EB9E048"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5BDDDA7C"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6913A6F4"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31F8CBA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0A9F740"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02C11DAA" w14:textId="77777777" w:rsidTr="007C07D8">
        <w:trPr>
          <w:trHeight w:val="397"/>
        </w:trPr>
        <w:tc>
          <w:tcPr>
            <w:tcW w:w="1165" w:type="dxa"/>
            <w:vAlign w:val="center"/>
          </w:tcPr>
          <w:p w14:paraId="3DDA21E9"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7453C693"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325CDCDC">
                <v:shape id="Picture 9" o:spid="_x0000_i1030" type="#_x0000_t75" style="width:13.8pt;height:18.45pt;visibility:visible;mso-wrap-style:square">
                  <v:imagedata r:id="rId51" o:title=""/>
                  <o:lock v:ext="edit" rotation="t" cropping="t" verticies="t"/>
                </v:shape>
              </w:pict>
            </w:r>
          </w:p>
        </w:tc>
        <w:tc>
          <w:tcPr>
            <w:tcW w:w="1166" w:type="dxa"/>
            <w:vAlign w:val="center"/>
          </w:tcPr>
          <w:p w14:paraId="4CF5FAED"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3D10FDC4">
                <v:shape id="Picture 10" o:spid="_x0000_i1029" type="#_x0000_t75" style="width:13.8pt;height:18.45pt;visibility:visible;mso-wrap-style:square">
                  <v:imagedata r:id="rId51" o:title=""/>
                  <o:lock v:ext="edit" rotation="t" cropping="t" verticies="t"/>
                </v:shape>
              </w:pict>
            </w:r>
          </w:p>
        </w:tc>
        <w:tc>
          <w:tcPr>
            <w:tcW w:w="1165" w:type="dxa"/>
            <w:vAlign w:val="center"/>
          </w:tcPr>
          <w:p w14:paraId="13A823CD"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76B0550C">
                <v:shape id="Picture 11" o:spid="_x0000_i1028" type="#_x0000_t75" style="width:13.8pt;height:18.45pt;visibility:visible;mso-wrap-style:square">
                  <v:imagedata r:id="rId51" o:title=""/>
                  <o:lock v:ext="edit" rotation="t" cropping="t" verticies="t"/>
                </v:shape>
              </w:pict>
            </w:r>
          </w:p>
        </w:tc>
        <w:tc>
          <w:tcPr>
            <w:tcW w:w="1166" w:type="dxa"/>
            <w:vAlign w:val="center"/>
          </w:tcPr>
          <w:p w14:paraId="347230D0"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47379920">
                <v:shape id="Picture 12" o:spid="_x0000_i1027" type="#_x0000_t75" style="width:13.8pt;height:18.45pt;visibility:visible;mso-wrap-style:square">
                  <v:imagedata r:id="rId51" o:title=""/>
                  <o:lock v:ext="edit" rotation="t" cropping="t" verticies="t"/>
                </v:shape>
              </w:pict>
            </w:r>
          </w:p>
        </w:tc>
        <w:tc>
          <w:tcPr>
            <w:tcW w:w="1166" w:type="dxa"/>
            <w:vAlign w:val="center"/>
          </w:tcPr>
          <w:p w14:paraId="1BC75E07" w14:textId="77777777" w:rsidR="003A7089" w:rsidRPr="00E027F6" w:rsidRDefault="00BB5B78" w:rsidP="003871FD">
            <w:pPr>
              <w:jc w:val="center"/>
              <w:rPr>
                <w:rFonts w:ascii="Cambria" w:hAnsi="Cambria"/>
                <w:noProof/>
              </w:rPr>
            </w:pPr>
            <w:r w:rsidRPr="00BB5B78">
              <w:rPr>
                <w:rFonts w:ascii="Cambria" w:eastAsiaTheme="minorHAnsi" w:hAnsi="Cambria" w:cstheme="minorBidi"/>
                <w:noProof/>
                <w:kern w:val="2"/>
                <w:sz w:val="24"/>
                <w:szCs w:val="24"/>
                <w:lang w:eastAsia="en-US"/>
              </w:rPr>
              <w:pict w14:anchorId="74F7482B">
                <v:shape id="Picture 13" o:spid="_x0000_i1026" type="#_x0000_t75" style="width:13.8pt;height:18.45pt;visibility:visible;mso-wrap-style:square">
                  <v:imagedata r:id="rId51" o:title=""/>
                  <o:lock v:ext="edit" rotation="t" cropping="t" verticies="t"/>
                </v:shape>
              </w:pict>
            </w:r>
          </w:p>
        </w:tc>
        <w:tc>
          <w:tcPr>
            <w:tcW w:w="1165" w:type="dxa"/>
            <w:vAlign w:val="center"/>
          </w:tcPr>
          <w:p w14:paraId="4A6EEA70"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1C24B7DC"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47AE3F59" w14:textId="77777777" w:rsidR="003A7089" w:rsidRPr="00E027F6" w:rsidRDefault="00BB5B78" w:rsidP="003871FD">
            <w:pPr>
              <w:jc w:val="center"/>
              <w:rPr>
                <w:rFonts w:ascii="Cambria" w:hAnsi="Cambria"/>
              </w:rPr>
            </w:pPr>
            <w:r w:rsidRPr="00BB5B78">
              <w:rPr>
                <w:rFonts w:ascii="Cambria" w:eastAsiaTheme="minorHAnsi" w:hAnsi="Cambria" w:cstheme="minorBidi"/>
                <w:noProof/>
                <w:kern w:val="2"/>
                <w:sz w:val="24"/>
                <w:szCs w:val="24"/>
                <w:lang w:eastAsia="en-US"/>
              </w:rPr>
              <w:pict w14:anchorId="2217DEE5">
                <v:shape id="Picture 14" o:spid="_x0000_i1025" type="#_x0000_t75" style="width:13.8pt;height:18.45pt;visibility:visible;mso-wrap-style:square">
                  <v:imagedata r:id="rId51" o:title=""/>
                  <o:lock v:ext="edit" rotation="t" cropping="t" verticies="t"/>
                </v:shape>
              </w:pict>
            </w:r>
          </w:p>
        </w:tc>
      </w:tr>
    </w:tbl>
    <w:p w14:paraId="459BBE8D" w14:textId="77777777" w:rsidR="002A7B96" w:rsidRDefault="002A7B96" w:rsidP="00F01F2B">
      <w:pPr>
        <w:rPr>
          <w:rFonts w:ascii="Cambria" w:hAnsi="Cambria"/>
          <w:sz w:val="20"/>
          <w:szCs w:val="20"/>
        </w:rPr>
      </w:pPr>
    </w:p>
    <w:p w14:paraId="02E9FF1F" w14:textId="77777777" w:rsidR="002A7B96" w:rsidRDefault="002A7B96" w:rsidP="00F01F2B">
      <w:pPr>
        <w:rPr>
          <w:rFonts w:ascii="Cambria" w:hAnsi="Cambria"/>
          <w:sz w:val="20"/>
          <w:szCs w:val="20"/>
        </w:rPr>
      </w:pPr>
    </w:p>
    <w:p w14:paraId="65ECEED9"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5FAA3469" w14:textId="77777777" w:rsidTr="00820A4F">
        <w:trPr>
          <w:cantSplit/>
          <w:trHeight w:val="985"/>
        </w:trPr>
        <w:tc>
          <w:tcPr>
            <w:tcW w:w="2553" w:type="dxa"/>
          </w:tcPr>
          <w:p w14:paraId="4D93E994" w14:textId="77777777" w:rsidR="00147217" w:rsidRDefault="00000000">
            <w:pPr>
              <w:keepNext/>
            </w:pPr>
            <w:r>
              <w:rPr>
                <w:rFonts w:ascii="Cambria" w:hAnsi="Cambria"/>
              </w:rPr>
              <w:t>Date of entry:</w:t>
            </w:r>
          </w:p>
          <w:p w14:paraId="3E74AF14" w14:textId="77777777" w:rsidR="00147217" w:rsidRDefault="00000000">
            <w:pPr>
              <w:keepNext/>
            </w:pPr>
            <w:r>
              <w:rPr>
                <w:rFonts w:ascii="Cambria" w:hAnsi="Cambria"/>
              </w:rPr>
              <w:t>25 September 2024</w:t>
            </w:r>
          </w:p>
        </w:tc>
        <w:tc>
          <w:tcPr>
            <w:tcW w:w="3969" w:type="dxa"/>
            <w:gridSpan w:val="2"/>
            <w:vAlign w:val="center"/>
          </w:tcPr>
          <w:p w14:paraId="1D6D63B7" w14:textId="77777777" w:rsidR="00147217" w:rsidRDefault="00000000">
            <w:pPr>
              <w:keepNext/>
            </w:pPr>
            <w:r>
              <w:rPr>
                <w:rFonts w:ascii="Cambria" w:hAnsi="Cambria"/>
              </w:rPr>
              <w:t>Signature of course coordinator</w:t>
            </w:r>
          </w:p>
          <w:p w14:paraId="089727F8" w14:textId="77777777" w:rsidR="00147217" w:rsidRDefault="00000000">
            <w:pPr>
              <w:keepNext/>
            </w:pPr>
            <w:r>
              <w:rPr>
                <w:noProof/>
              </w:rPr>
              <w:drawing>
                <wp:inline distT="0" distB="0" distL="0" distR="0" wp14:anchorId="0D146DEA" wp14:editId="63C96AD2">
                  <wp:extent cx="1236196" cy="99234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1236196" cy="992341"/>
                          </a:xfrm>
                          <a:prstGeom prst="rect">
                            <a:avLst/>
                          </a:prstGeom>
                        </pic:spPr>
                      </pic:pic>
                    </a:graphicData>
                  </a:graphic>
                </wp:inline>
              </w:drawing>
            </w:r>
          </w:p>
        </w:tc>
        <w:tc>
          <w:tcPr>
            <w:tcW w:w="3969" w:type="dxa"/>
            <w:vAlign w:val="center"/>
          </w:tcPr>
          <w:p w14:paraId="29E50952" w14:textId="77777777" w:rsidR="00147217" w:rsidRDefault="00000000">
            <w:pPr>
              <w:keepNext/>
            </w:pPr>
            <w:r>
              <w:rPr>
                <w:rFonts w:ascii="Cambria" w:hAnsi="Cambria"/>
              </w:rPr>
              <w:t>Signature of seminar coordinator</w:t>
            </w:r>
          </w:p>
          <w:p w14:paraId="52A3596B" w14:textId="77777777" w:rsidR="00147217" w:rsidRDefault="00000000">
            <w:pPr>
              <w:keepNext/>
            </w:pPr>
            <w:r>
              <w:rPr>
                <w:noProof/>
              </w:rPr>
              <w:drawing>
                <wp:inline distT="0" distB="0" distL="0" distR="0" wp14:anchorId="4113D8B3" wp14:editId="316D1FC6">
                  <wp:extent cx="1236196" cy="992341"/>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1236196" cy="992341"/>
                          </a:xfrm>
                          <a:prstGeom prst="rect">
                            <a:avLst/>
                          </a:prstGeom>
                        </pic:spPr>
                      </pic:pic>
                    </a:graphicData>
                  </a:graphic>
                </wp:inline>
              </w:drawing>
            </w:r>
          </w:p>
        </w:tc>
      </w:tr>
      <w:tr w:rsidR="006B6ABF" w:rsidRPr="003C197C" w14:paraId="74D1000C" w14:textId="77777777" w:rsidTr="00820A4F">
        <w:trPr>
          <w:cantSplit/>
          <w:trHeight w:val="766"/>
        </w:trPr>
        <w:tc>
          <w:tcPr>
            <w:tcW w:w="2553" w:type="dxa"/>
            <w:vAlign w:val="center"/>
          </w:tcPr>
          <w:p w14:paraId="1FA9987B" w14:textId="77777777" w:rsidR="003C197C" w:rsidRPr="003C197C" w:rsidRDefault="003C197C" w:rsidP="003C197C">
            <w:pPr>
              <w:keepNext/>
              <w:spacing w:line="480" w:lineRule="auto"/>
              <w:rPr>
                <w:rFonts w:ascii="Cambria" w:hAnsi="Cambria"/>
              </w:rPr>
            </w:pPr>
          </w:p>
        </w:tc>
        <w:tc>
          <w:tcPr>
            <w:tcW w:w="3969" w:type="dxa"/>
            <w:gridSpan w:val="2"/>
            <w:vAlign w:val="center"/>
          </w:tcPr>
          <w:p w14:paraId="484B7595" w14:textId="77777777" w:rsidR="003C197C" w:rsidRPr="003C197C" w:rsidRDefault="003C197C" w:rsidP="003C197C">
            <w:pPr>
              <w:keepNext/>
              <w:spacing w:line="480" w:lineRule="auto"/>
              <w:rPr>
                <w:rFonts w:ascii="Cambria" w:hAnsi="Cambria"/>
              </w:rPr>
            </w:pPr>
          </w:p>
        </w:tc>
        <w:tc>
          <w:tcPr>
            <w:tcW w:w="3969" w:type="dxa"/>
            <w:vAlign w:val="center"/>
          </w:tcPr>
          <w:p w14:paraId="11EAB93C" w14:textId="77777777" w:rsidR="003C197C" w:rsidRPr="003C197C" w:rsidRDefault="003C197C" w:rsidP="003C197C">
            <w:pPr>
              <w:keepNext/>
              <w:spacing w:line="480" w:lineRule="auto"/>
              <w:rPr>
                <w:rFonts w:ascii="Cambria" w:hAnsi="Cambria"/>
              </w:rPr>
            </w:pPr>
          </w:p>
        </w:tc>
      </w:tr>
      <w:tr w:rsidR="006B6ABF" w:rsidRPr="003C197C" w14:paraId="7EDA739F" w14:textId="77777777" w:rsidTr="00820A4F">
        <w:trPr>
          <w:cantSplit/>
          <w:trHeight w:val="605"/>
        </w:trPr>
        <w:tc>
          <w:tcPr>
            <w:tcW w:w="5388" w:type="dxa"/>
            <w:gridSpan w:val="2"/>
          </w:tcPr>
          <w:p w14:paraId="10FBB09E" w14:textId="77777777" w:rsidR="00147217" w:rsidRDefault="00000000">
            <w:r>
              <w:rPr>
                <w:rFonts w:ascii="Cambria" w:hAnsi="Cambria"/>
              </w:rPr>
              <w:t>Date of approval in the department:</w:t>
            </w:r>
          </w:p>
          <w:p w14:paraId="22B3523A" w14:textId="77777777" w:rsidR="00147217" w:rsidRDefault="00000000">
            <w:r>
              <w:rPr>
                <w:rFonts w:ascii="Cambria" w:hAnsi="Cambria"/>
              </w:rPr>
              <w:t>25 September 2024</w:t>
            </w:r>
          </w:p>
        </w:tc>
        <w:tc>
          <w:tcPr>
            <w:tcW w:w="5103" w:type="dxa"/>
            <w:gridSpan w:val="2"/>
            <w:vAlign w:val="center"/>
          </w:tcPr>
          <w:p w14:paraId="546630B8" w14:textId="77777777" w:rsidR="00147217" w:rsidRDefault="00000000">
            <w:r>
              <w:rPr>
                <w:rFonts w:ascii="Cambria" w:hAnsi="Cambria"/>
              </w:rPr>
              <w:t>Signature of the head of department</w:t>
            </w:r>
          </w:p>
          <w:p w14:paraId="6F67DEC7" w14:textId="77777777" w:rsidR="00147217" w:rsidRDefault="00000000">
            <w:r>
              <w:rPr>
                <w:rFonts w:ascii="Cambria" w:hAnsi="Cambria"/>
              </w:rPr>
              <w:t>Cosmin Gabriel Marian</w:t>
            </w:r>
          </w:p>
        </w:tc>
      </w:tr>
    </w:tbl>
    <w:p w14:paraId="1D929A38"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B91F95" w14:textId="77777777" w:rsidR="00BB5B78" w:rsidRDefault="00BB5B78" w:rsidP="00D12BC3">
      <w:pPr>
        <w:spacing w:after="0" w:line="240" w:lineRule="auto"/>
      </w:pPr>
      <w:r>
        <w:separator/>
      </w:r>
    </w:p>
  </w:endnote>
  <w:endnote w:type="continuationSeparator" w:id="0">
    <w:p w14:paraId="0445105A" w14:textId="77777777" w:rsidR="00BB5B78" w:rsidRDefault="00BB5B78"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371287" w14:textId="77777777" w:rsidR="00BB5B78" w:rsidRDefault="00BB5B78" w:rsidP="00D12BC3">
      <w:pPr>
        <w:spacing w:after="0" w:line="240" w:lineRule="auto"/>
      </w:pPr>
      <w:r>
        <w:separator/>
      </w:r>
    </w:p>
  </w:footnote>
  <w:footnote w:type="continuationSeparator" w:id="0">
    <w:p w14:paraId="01FF5B44" w14:textId="77777777" w:rsidR="00BB5B78" w:rsidRDefault="00BB5B78" w:rsidP="00D12BC3">
      <w:pPr>
        <w:spacing w:after="0" w:line="240" w:lineRule="auto"/>
      </w:pPr>
      <w:r>
        <w:continuationSeparator/>
      </w:r>
    </w:p>
  </w:footnote>
  <w:footnote w:id="1">
    <w:p w14:paraId="214D024B"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225DCA1E"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031FB6B2"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72B07D50"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77C45E2C"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435DB558"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D0589"/>
    <w:multiLevelType w:val="multilevel"/>
    <w:tmpl w:val="2EF84CB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C409C5"/>
    <w:multiLevelType w:val="hybridMultilevel"/>
    <w:tmpl w:val="FB9C4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9"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20"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3555">
    <w:abstractNumId w:val="0"/>
  </w:num>
  <w:num w:numId="2" w16cid:durableId="418870820">
    <w:abstractNumId w:val="13"/>
  </w:num>
  <w:num w:numId="3" w16cid:durableId="293952703">
    <w:abstractNumId w:val="8"/>
  </w:num>
  <w:num w:numId="4" w16cid:durableId="54667372">
    <w:abstractNumId w:val="23"/>
  </w:num>
  <w:num w:numId="5" w16cid:durableId="316567979">
    <w:abstractNumId w:val="15"/>
  </w:num>
  <w:num w:numId="6" w16cid:durableId="1504972527">
    <w:abstractNumId w:val="1"/>
  </w:num>
  <w:num w:numId="7" w16cid:durableId="1593053928">
    <w:abstractNumId w:val="2"/>
  </w:num>
  <w:num w:numId="8" w16cid:durableId="845901187">
    <w:abstractNumId w:val="11"/>
  </w:num>
  <w:num w:numId="9" w16cid:durableId="537663517">
    <w:abstractNumId w:val="12"/>
  </w:num>
  <w:num w:numId="10" w16cid:durableId="1353266527">
    <w:abstractNumId w:val="22"/>
  </w:num>
  <w:num w:numId="11" w16cid:durableId="738600238">
    <w:abstractNumId w:val="5"/>
  </w:num>
  <w:num w:numId="12" w16cid:durableId="1104764011">
    <w:abstractNumId w:val="14"/>
  </w:num>
  <w:num w:numId="13" w16cid:durableId="93785775">
    <w:abstractNumId w:val="25"/>
  </w:num>
  <w:num w:numId="14" w16cid:durableId="212234365">
    <w:abstractNumId w:val="21"/>
  </w:num>
  <w:num w:numId="15" w16cid:durableId="45418719">
    <w:abstractNumId w:val="3"/>
  </w:num>
  <w:num w:numId="16" w16cid:durableId="1365254307">
    <w:abstractNumId w:val="20"/>
  </w:num>
  <w:num w:numId="17" w16cid:durableId="205222976">
    <w:abstractNumId w:val="27"/>
  </w:num>
  <w:num w:numId="18" w16cid:durableId="1472625961">
    <w:abstractNumId w:val="17"/>
  </w:num>
  <w:num w:numId="19" w16cid:durableId="776490451">
    <w:abstractNumId w:val="4"/>
  </w:num>
  <w:num w:numId="20" w16cid:durableId="2040622478">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47217"/>
    <w:rsid w:val="00155A52"/>
    <w:rsid w:val="001914D4"/>
    <w:rsid w:val="0019757E"/>
    <w:rsid w:val="001A19E8"/>
    <w:rsid w:val="001A4A04"/>
    <w:rsid w:val="001A4AD8"/>
    <w:rsid w:val="001A50C5"/>
    <w:rsid w:val="001A6D53"/>
    <w:rsid w:val="001C2668"/>
    <w:rsid w:val="001C3E3C"/>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74473"/>
    <w:rsid w:val="00280BCA"/>
    <w:rsid w:val="00283C24"/>
    <w:rsid w:val="00291FB6"/>
    <w:rsid w:val="002A3A93"/>
    <w:rsid w:val="002A7B96"/>
    <w:rsid w:val="002B298E"/>
    <w:rsid w:val="002B38EF"/>
    <w:rsid w:val="002B3B45"/>
    <w:rsid w:val="002C22AA"/>
    <w:rsid w:val="002C2A67"/>
    <w:rsid w:val="002D0A73"/>
    <w:rsid w:val="002D13DD"/>
    <w:rsid w:val="002D19B2"/>
    <w:rsid w:val="002D5FCA"/>
    <w:rsid w:val="002E2CDC"/>
    <w:rsid w:val="002E2D93"/>
    <w:rsid w:val="002E4459"/>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20E1"/>
    <w:rsid w:val="00547DE3"/>
    <w:rsid w:val="0055138F"/>
    <w:rsid w:val="00551CC4"/>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715DB"/>
    <w:rsid w:val="00B758E2"/>
    <w:rsid w:val="00B801DE"/>
    <w:rsid w:val="00B92917"/>
    <w:rsid w:val="00BA46D7"/>
    <w:rsid w:val="00BB3399"/>
    <w:rsid w:val="00BB5B78"/>
    <w:rsid w:val="00BB7D9B"/>
    <w:rsid w:val="00BC572A"/>
    <w:rsid w:val="00BC69BB"/>
    <w:rsid w:val="00BC7CDE"/>
    <w:rsid w:val="00BD3CB2"/>
    <w:rsid w:val="00BF0B4D"/>
    <w:rsid w:val="00BF17DD"/>
    <w:rsid w:val="00BF2C1C"/>
    <w:rsid w:val="00BF4F61"/>
    <w:rsid w:val="00C01652"/>
    <w:rsid w:val="00C02345"/>
    <w:rsid w:val="00C05B3A"/>
    <w:rsid w:val="00C163AF"/>
    <w:rsid w:val="00C17010"/>
    <w:rsid w:val="00C344D3"/>
    <w:rsid w:val="00C3571C"/>
    <w:rsid w:val="00C43513"/>
    <w:rsid w:val="00C46D4A"/>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30BD"/>
    <w:rsid w:val="00E5452B"/>
    <w:rsid w:val="00E56D7A"/>
    <w:rsid w:val="00E724BA"/>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AEEA0"/>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apple-converted-space">
    <w:name w:val="apple-converted-space"/>
    <w:basedOn w:val="DefaultParagraphFont"/>
    <w:rsid w:val="00E530BD"/>
  </w:style>
  <w:style w:type="character" w:styleId="Emphasis">
    <w:name w:val="Emphasis"/>
    <w:basedOn w:val="DefaultParagraphFont"/>
    <w:uiPriority w:val="20"/>
    <w:qFormat/>
    <w:rsid w:val="00E530BD"/>
    <w:rPr>
      <w:i/>
      <w:iCs/>
    </w:rPr>
  </w:style>
  <w:style w:type="paragraph" w:customStyle="1" w:styleId="c-bibliographic-informationcitation">
    <w:name w:val="c-bibliographic-information__citation"/>
    <w:basedOn w:val="Normal"/>
    <w:rsid w:val="00E530BD"/>
    <w:pPr>
      <w:spacing w:before="100" w:beforeAutospacing="1" w:after="100" w:afterAutospacing="1" w:line="240" w:lineRule="auto"/>
    </w:pPr>
    <w:rPr>
      <w:rFonts w:ascii="Times New Roman" w:eastAsia="Times New Roman" w:hAnsi="Times New Roman" w:cs="Times New Roman"/>
      <w:kern w:val="0"/>
      <w:lang w:val="en-RO" w:eastAsia="en-GB"/>
    </w:rPr>
  </w:style>
  <w:style w:type="character" w:styleId="Strong">
    <w:name w:val="Strong"/>
    <w:basedOn w:val="DefaultParagraphFont"/>
    <w:uiPriority w:val="22"/>
    <w:qFormat/>
    <w:rsid w:val="00E530BD"/>
    <w:rPr>
      <w:b/>
      <w:bCs/>
    </w:rPr>
  </w:style>
  <w:style w:type="character" w:customStyle="1" w:styleId="whitespace-normal">
    <w:name w:val="whitespace-normal"/>
    <w:basedOn w:val="DefaultParagraphFont"/>
    <w:rsid w:val="00E530BD"/>
  </w:style>
  <w:style w:type="paragraph" w:styleId="NormalWeb">
    <w:name w:val="Normal (Web)"/>
    <w:basedOn w:val="Normal"/>
    <w:uiPriority w:val="99"/>
    <w:unhideWhenUsed/>
    <w:rsid w:val="00E530BD"/>
    <w:pPr>
      <w:spacing w:before="100" w:beforeAutospacing="1" w:after="100" w:afterAutospacing="1" w:line="240" w:lineRule="auto"/>
    </w:pPr>
    <w:rPr>
      <w:rFonts w:ascii="Times New Roman" w:eastAsia="Times New Roman" w:hAnsi="Times New Roman" w:cs="Times New Roman"/>
      <w:kern w:val="0"/>
      <w:lang w:val="en-RO" w:eastAsia="en-GB"/>
    </w:rPr>
  </w:style>
  <w:style w:type="paragraph" w:customStyle="1" w:styleId="pdq2pgselectionanchorcontainer">
    <w:name w:val="pdq2pg_selectionanchorcontainer"/>
    <w:basedOn w:val="Normal"/>
    <w:rsid w:val="00E530BD"/>
    <w:pPr>
      <w:spacing w:before="100" w:beforeAutospacing="1" w:after="100" w:afterAutospacing="1" w:line="240" w:lineRule="auto"/>
    </w:pPr>
    <w:rPr>
      <w:rFonts w:ascii="Times New Roman" w:eastAsia="Times New Roman" w:hAnsi="Times New Roman" w:cs="Times New Roman"/>
      <w:kern w:val="0"/>
      <w:lang w:val="en-RO" w:eastAsia="en-GB"/>
    </w:rPr>
  </w:style>
  <w:style w:type="paragraph" w:customStyle="1" w:styleId="isselectedend">
    <w:name w:val="isselectedend"/>
    <w:basedOn w:val="Normal"/>
    <w:rsid w:val="00E530BD"/>
    <w:pPr>
      <w:spacing w:before="100" w:beforeAutospacing="1" w:after="100" w:afterAutospacing="1" w:line="240" w:lineRule="auto"/>
    </w:pPr>
    <w:rPr>
      <w:rFonts w:ascii="Times New Roman" w:eastAsia="Times New Roman" w:hAnsi="Times New Roman" w:cs="Times New Roman"/>
      <w:kern w:val="0"/>
      <w:lang w:val="en-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reignaffairs.com/europe/beware-europe-you-wish-wallander?utm_source=chatgpt.com" TargetMode="External"/><Relationship Id="rId18" Type="http://schemas.openxmlformats.org/officeDocument/2006/relationships/hyperlink" Target="https://eastangliabylines.co.uk/business/economics/decline-what-decline-the-myth-of-dying-europe/" TargetMode="External"/><Relationship Id="rId26" Type="http://schemas.openxmlformats.org/officeDocument/2006/relationships/hyperlink" Target="https://www.bruegel.org/blueprint/bigger-better-funded-and-focused-public-goods-how-revamp-european-union-budget" TargetMode="External"/><Relationship Id="rId39" Type="http://schemas.openxmlformats.org/officeDocument/2006/relationships/hyperlink" Target="https://eastangliabylines.co.uk/business/economics/decline-what-decline-the-myth-of-dying-europe/" TargetMode="External"/><Relationship Id="rId21" Type="http://schemas.openxmlformats.org/officeDocument/2006/relationships/hyperlink" Target="https://www.truedemdata.eu/truedem/TRUEDEM_Kizilova_11_03_2024.pdf" TargetMode="External"/><Relationship Id="rId34" Type="http://schemas.openxmlformats.org/officeDocument/2006/relationships/hyperlink" Target="https://fiia.fi/en/publication/the-european-unions-crisis-management-efforts" TargetMode="External"/><Relationship Id="rId42" Type="http://schemas.openxmlformats.org/officeDocument/2006/relationships/image" Target="media/image2.png"/><Relationship Id="rId47" Type="http://schemas.openxmlformats.org/officeDocument/2006/relationships/image" Target="media/image7.png"/><Relationship Id="rId50" Type="http://schemas.openxmlformats.org/officeDocument/2006/relationships/image" Target="media/image10.png"/><Relationship Id="rId55" Type="http://schemas.openxmlformats.org/officeDocument/2006/relationships/image" Target="media/image15.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cfr.eu/article/the-next-big-bang-how-the-eu-can-fast-track-enlargement-amid-geopolitical-tensions/" TargetMode="External"/><Relationship Id="rId29" Type="http://schemas.openxmlformats.org/officeDocument/2006/relationships/hyperlink" Target="https://www.bruegel.org/analysis/thinking-european-first-and-its-implications" TargetMode="External"/><Relationship Id="rId11" Type="http://schemas.openxmlformats.org/officeDocument/2006/relationships/hyperlink" Target="https://www.clingendael.org/sites/default/files/2025-10/Report_Raising_the_Standard.pdf?utm_source=chatgpt.com" TargetMode="External"/><Relationship Id="rId24" Type="http://schemas.openxmlformats.org/officeDocument/2006/relationships/hyperlink" Target="https://epthinktank.eu/2026/01/15/the-european-democracy-shield-an-overview/" TargetMode="External"/><Relationship Id="rId32" Type="http://schemas.openxmlformats.org/officeDocument/2006/relationships/hyperlink" Target="https://www.clingendael.org/sites/default/files/2025-10/Report_Raising_the_Standard.pdf" TargetMode="External"/><Relationship Id="rId37" Type="http://schemas.openxmlformats.org/officeDocument/2006/relationships/hyperlink" Target="https://ecfr.eu/article/the-next-big-bang-how-the-eu-can-fast-track-enlargement-amid-geopolitical-tensions/" TargetMode="External"/><Relationship Id="rId40" Type="http://schemas.openxmlformats.org/officeDocument/2006/relationships/hyperlink" Target="https://connect.apsanet.org/stylemanual/references/" TargetMode="External"/><Relationship Id="rId45" Type="http://schemas.openxmlformats.org/officeDocument/2006/relationships/image" Target="media/image5.png"/><Relationship Id="rId53" Type="http://schemas.openxmlformats.org/officeDocument/2006/relationships/image" Target="media/image13.png"/><Relationship Id="rId58" Type="http://schemas.openxmlformats.org/officeDocument/2006/relationships/image" Target="media/image18.png"/><Relationship Id="rId5" Type="http://schemas.openxmlformats.org/officeDocument/2006/relationships/webSettings" Target="webSettings.xml"/><Relationship Id="rId61" Type="http://schemas.openxmlformats.org/officeDocument/2006/relationships/image" Target="media/image21.jpg"/><Relationship Id="rId19" Type="http://schemas.openxmlformats.org/officeDocument/2006/relationships/hyperlink" Target="https://www.epc.eu/publication/democracy-shield-defense-or-distraction/" TargetMode="External"/><Relationship Id="rId14" Type="http://schemas.openxmlformats.org/officeDocument/2006/relationships/hyperlink" Target="https://fiia.fi/en/publication/the-european-unions-crisis-management-efforts" TargetMode="External"/><Relationship Id="rId22" Type="http://schemas.openxmlformats.org/officeDocument/2006/relationships/hyperlink" Target="https://www.bruegel.org/analysis/thinking-european-first-and-its-implications" TargetMode="External"/><Relationship Id="rId27" Type="http://schemas.openxmlformats.org/officeDocument/2006/relationships/hyperlink" Target="https://www.epc.eu/publication/democracy-shield-defense-or-distraction/" TargetMode="External"/><Relationship Id="rId30" Type="http://schemas.openxmlformats.org/officeDocument/2006/relationships/hyperlink" Target="https://www.bruegel.org/policy-brief/european-circular-single-market-economic-security-and-competitiveness" TargetMode="External"/><Relationship Id="rId35" Type="http://schemas.openxmlformats.org/officeDocument/2006/relationships/hyperlink" Target="https://fiia.fi/en/publication/demands-for-european-security-and-defence-cooperation-in-ukraine-after-russias-invasion" TargetMode="External"/><Relationship Id="rId43" Type="http://schemas.openxmlformats.org/officeDocument/2006/relationships/image" Target="media/image3.png"/><Relationship Id="rId48" Type="http://schemas.openxmlformats.org/officeDocument/2006/relationships/image" Target="media/image8.png"/><Relationship Id="rId56" Type="http://schemas.openxmlformats.org/officeDocument/2006/relationships/image" Target="media/image16.png"/><Relationship Id="rId8" Type="http://schemas.openxmlformats.org/officeDocument/2006/relationships/hyperlink" Target="https://www.bruegel.org/policy-brief/european-circular-single-market-economic-security-and-competitiveness" TargetMode="External"/><Relationship Id="rId51" Type="http://schemas.openxmlformats.org/officeDocument/2006/relationships/image" Target="media/image11.wmf"/><Relationship Id="rId3" Type="http://schemas.openxmlformats.org/officeDocument/2006/relationships/styles" Target="styles.xml"/><Relationship Id="rId12" Type="http://schemas.openxmlformats.org/officeDocument/2006/relationships/hyperlink" Target="https://fiia.fi/en/publication/demands-for-european-security-and-defence-cooperation-in-ukraine-after-russias-invasion?utm_source=chatgpt.com" TargetMode="External"/><Relationship Id="rId17" Type="http://schemas.openxmlformats.org/officeDocument/2006/relationships/hyperlink" Target="https://ecfr.eu/publication/accelerate-the-accessions-why-faster-is-better-in-eu-enlargement-policy/" TargetMode="External"/><Relationship Id="rId25" Type="http://schemas.openxmlformats.org/officeDocument/2006/relationships/hyperlink" Target="https://www.atlanticcouncil.org/in-depth-research-reports/report/digital-sovereignty-europes-declaration-of-independence/" TargetMode="External"/><Relationship Id="rId33" Type="http://schemas.openxmlformats.org/officeDocument/2006/relationships/hyperlink" Target="https://ecfr.eu/publication/accelerate-the-accessions-why-faster-is-better-in-eu-enlargement-policy/" TargetMode="External"/><Relationship Id="rId38" Type="http://schemas.openxmlformats.org/officeDocument/2006/relationships/hyperlink" Target="https://www.foreignaffairs.com/europe/beware-europe-you-wish-wallander" TargetMode="External"/><Relationship Id="rId46" Type="http://schemas.openxmlformats.org/officeDocument/2006/relationships/image" Target="media/image6.png"/><Relationship Id="rId59" Type="http://schemas.openxmlformats.org/officeDocument/2006/relationships/image" Target="media/image19.png"/><Relationship Id="rId20" Type="http://schemas.openxmlformats.org/officeDocument/2006/relationships/hyperlink" Target="https://epthinktank.eu/2026/01/15/the-european-democracy-shield-an-overview/?utm_source=chatgpt.com" TargetMode="External"/><Relationship Id="rId41" Type="http://schemas.openxmlformats.org/officeDocument/2006/relationships/image" Target="media/image1.emf"/><Relationship Id="rId54" Type="http://schemas.openxmlformats.org/officeDocument/2006/relationships/image" Target="media/image14.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eps.eu/ceps-publications/how-to-radically-simplify-and-streamline-the-eu-enlargement-process/" TargetMode="External"/><Relationship Id="rId23" Type="http://schemas.openxmlformats.org/officeDocument/2006/relationships/hyperlink" Target="https://www.sciencespo.fr/chair-sustainable-development/news/the-geopolitics-of-the-european-green-deal-from-fragile-to-strategic-dependencies/" TargetMode="External"/><Relationship Id="rId28" Type="http://schemas.openxmlformats.org/officeDocument/2006/relationships/hyperlink" Target="https://www.ceps.eu/ceps-publications/how-to-radically-simplify-and-streamline-the-eu-enlargement-process/" TargetMode="External"/><Relationship Id="rId36" Type="http://schemas.openxmlformats.org/officeDocument/2006/relationships/hyperlink" Target="https://institutdelors.eu/en/publication/leurope-et-lasile-dun-espace-de-protection-a-un-espace-protege-2/" TargetMode="External"/><Relationship Id="rId49" Type="http://schemas.openxmlformats.org/officeDocument/2006/relationships/image" Target="media/image9.png"/><Relationship Id="rId57" Type="http://schemas.openxmlformats.org/officeDocument/2006/relationships/image" Target="media/image17.png"/><Relationship Id="rId10" Type="http://schemas.openxmlformats.org/officeDocument/2006/relationships/hyperlink" Target="https://www.atlanticcouncil.org/in-depth-research-reports/report/digital-sovereignty-europes-declaration-of-independence/?utm_source=chatgpt.com" TargetMode="External"/><Relationship Id="rId31" Type="http://schemas.openxmlformats.org/officeDocument/2006/relationships/hyperlink" Target="https://www.truedemdata.eu/truedem/TRUEDEM_Kizilova_11_03_2024.pdf" TargetMode="External"/><Relationship Id="rId44" Type="http://schemas.openxmlformats.org/officeDocument/2006/relationships/image" Target="media/image4.png"/><Relationship Id="rId52" Type="http://schemas.openxmlformats.org/officeDocument/2006/relationships/image" Target="media/image12.png"/><Relationship Id="rId60" Type="http://schemas.openxmlformats.org/officeDocument/2006/relationships/image" Target="media/image20.wmf"/><Relationship Id="rId4" Type="http://schemas.openxmlformats.org/officeDocument/2006/relationships/settings" Target="settings.xml"/><Relationship Id="rId9" Type="http://schemas.openxmlformats.org/officeDocument/2006/relationships/hyperlink" Target="https://www.sciencespo.fr/chair-sustainable-development/news/the-geopolitics-of-the-european-green-deal-from-fragile-to-strategic-dependencies/?utm_source=chatgpt.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5100</Words>
  <Characters>29075</Characters>
  <Application>Microsoft Office Word</Application>
  <DocSecurity>0</DocSecurity>
  <Lines>242</Lines>
  <Paragraphs>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ULE1632 Sinea Studii de guvernanță și guvernare - Governance studies (anul III)</vt:lpstr>
      <vt:lpstr/>
    </vt:vector>
  </TitlesOfParts>
  <Company/>
  <LinksUpToDate>false</LinksUpToDate>
  <CharactersWithSpaces>34107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ULE1632 Sinea Studii de guvernanță și guvernare - Governance studies (anul III)</dc:title>
  <dc:creator>Patricia-Georgiana Rechisan</dc:creator>
  <cp:lastModifiedBy>Anca-Cristina Sinea</cp:lastModifiedBy>
  <cp:revision>3</cp:revision>
  <dcterms:created xsi:type="dcterms:W3CDTF">2026-09-28T09:36:00Z</dcterms:created>
  <dcterms:modified xsi:type="dcterms:W3CDTF">2026-09-28T10:01:00Z</dcterms:modified>
</cp:coreProperties>
</file>