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B1EC" w14:textId="77777777" w:rsidR="00D80271" w:rsidRPr="00D50BAD" w:rsidRDefault="00D80271" w:rsidP="00343DED">
      <w:pPr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caps/>
          <w:sz w:val="24"/>
          <w:szCs w:val="24"/>
          <w:lang w:val="en-GB"/>
        </w:rPr>
        <w:t>syllabus</w:t>
      </w:r>
    </w:p>
    <w:p w14:paraId="0BE3967C" w14:textId="77777777" w:rsidR="00D80271" w:rsidRPr="00D50BAD" w:rsidRDefault="00D80271" w:rsidP="00A5014E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1. Information regarding the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851"/>
      </w:tblGrid>
      <w:tr w:rsidR="00D80271" w:rsidRPr="00D50BAD" w14:paraId="0E998AF0" w14:textId="77777777" w:rsidTr="0007194F">
        <w:tc>
          <w:tcPr>
            <w:tcW w:w="3168" w:type="dxa"/>
          </w:tcPr>
          <w:p w14:paraId="3510CE2B" w14:textId="77777777" w:rsidR="00D80271" w:rsidRPr="00D50BAD" w:rsidRDefault="00D80271" w:rsidP="00FA19D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1.1 Higher education institution </w:t>
            </w:r>
          </w:p>
        </w:tc>
        <w:tc>
          <w:tcPr>
            <w:tcW w:w="6851" w:type="dxa"/>
          </w:tcPr>
          <w:p w14:paraId="60C20729" w14:textId="151B8BF1" w:rsidR="00D80271" w:rsidRPr="00284FA9" w:rsidRDefault="00D50BAD" w:rsidP="00A5014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Babeş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–Bolyai University</w:t>
            </w:r>
          </w:p>
        </w:tc>
      </w:tr>
      <w:tr w:rsidR="00D80271" w:rsidRPr="00D50BAD" w14:paraId="1D80CF85" w14:textId="77777777" w:rsidTr="0007194F">
        <w:tc>
          <w:tcPr>
            <w:tcW w:w="3168" w:type="dxa"/>
          </w:tcPr>
          <w:p w14:paraId="3373C0E7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1.2 Faculty</w:t>
            </w:r>
          </w:p>
        </w:tc>
        <w:tc>
          <w:tcPr>
            <w:tcW w:w="6851" w:type="dxa"/>
          </w:tcPr>
          <w:p w14:paraId="7ABC1BBB" w14:textId="67EF1587" w:rsidR="00D80271" w:rsidRPr="00284FA9" w:rsidRDefault="00D50BAD" w:rsidP="00A5014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Faculty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 of Political, Administrative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Communication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Sciences</w:t>
            </w:r>
            <w:proofErr w:type="spellEnd"/>
          </w:p>
        </w:tc>
      </w:tr>
      <w:tr w:rsidR="00D80271" w:rsidRPr="00D50BAD" w14:paraId="68B23E39" w14:textId="77777777" w:rsidTr="0007194F">
        <w:tc>
          <w:tcPr>
            <w:tcW w:w="3168" w:type="dxa"/>
          </w:tcPr>
          <w:p w14:paraId="71A5DB15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1.3 Department</w:t>
            </w:r>
          </w:p>
        </w:tc>
        <w:tc>
          <w:tcPr>
            <w:tcW w:w="6851" w:type="dxa"/>
          </w:tcPr>
          <w:p w14:paraId="02D2B68F" w14:textId="3437F4FF" w:rsidR="00D80271" w:rsidRPr="00284FA9" w:rsidRDefault="00D50BAD" w:rsidP="00D50BA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Political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Science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Department</w:t>
            </w:r>
            <w:proofErr w:type="spellEnd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 - English Line of Studies</w:t>
            </w:r>
          </w:p>
        </w:tc>
      </w:tr>
      <w:tr w:rsidR="00D80271" w:rsidRPr="00D50BAD" w14:paraId="54BA15C8" w14:textId="77777777" w:rsidTr="0007194F">
        <w:tc>
          <w:tcPr>
            <w:tcW w:w="3168" w:type="dxa"/>
          </w:tcPr>
          <w:p w14:paraId="190A0C58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1.4 Field of study</w:t>
            </w:r>
          </w:p>
        </w:tc>
        <w:tc>
          <w:tcPr>
            <w:tcW w:w="6851" w:type="dxa"/>
          </w:tcPr>
          <w:p w14:paraId="31884B36" w14:textId="6827CBA4" w:rsidR="00D80271" w:rsidRPr="00284FA9" w:rsidRDefault="00D50BAD" w:rsidP="00A5014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 xml:space="preserve">Political </w:t>
            </w:r>
            <w:proofErr w:type="spellStart"/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Science</w:t>
            </w:r>
            <w:proofErr w:type="spellEnd"/>
          </w:p>
        </w:tc>
      </w:tr>
      <w:tr w:rsidR="00D80271" w:rsidRPr="00D50BAD" w14:paraId="49FB0DB4" w14:textId="77777777" w:rsidTr="0007194F">
        <w:tc>
          <w:tcPr>
            <w:tcW w:w="3168" w:type="dxa"/>
          </w:tcPr>
          <w:p w14:paraId="01E27838" w14:textId="77777777" w:rsidR="00D80271" w:rsidRPr="00D50BAD" w:rsidRDefault="00D80271" w:rsidP="008455C2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1.5 Study cycle</w:t>
            </w:r>
          </w:p>
        </w:tc>
        <w:tc>
          <w:tcPr>
            <w:tcW w:w="6851" w:type="dxa"/>
          </w:tcPr>
          <w:p w14:paraId="682AB8A9" w14:textId="53308284" w:rsidR="00D80271" w:rsidRPr="00284FA9" w:rsidRDefault="00D50BAD" w:rsidP="00EE1ADE">
            <w:pPr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284FA9"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</w:p>
        </w:tc>
      </w:tr>
      <w:tr w:rsidR="00D80271" w:rsidRPr="00D50BAD" w14:paraId="37BF991E" w14:textId="77777777" w:rsidTr="0007194F">
        <w:tc>
          <w:tcPr>
            <w:tcW w:w="3168" w:type="dxa"/>
          </w:tcPr>
          <w:p w14:paraId="3F4988DC" w14:textId="77777777" w:rsidR="00D80271" w:rsidRPr="00D50BAD" w:rsidRDefault="00D80271" w:rsidP="008455C2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1.6 Study programme / Qualification </w:t>
            </w:r>
          </w:p>
        </w:tc>
        <w:tc>
          <w:tcPr>
            <w:tcW w:w="6851" w:type="dxa"/>
          </w:tcPr>
          <w:p w14:paraId="03142AEE" w14:textId="1EDAAB19" w:rsidR="00D80271" w:rsidRPr="00D50BAD" w:rsidRDefault="00D50BAD" w:rsidP="005A41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50BAD">
              <w:rPr>
                <w:rFonts w:ascii="Times New Roman" w:hAnsi="Times New Roman"/>
                <w:sz w:val="24"/>
                <w:szCs w:val="24"/>
              </w:rPr>
              <w:t xml:space="preserve">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English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language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track</w:t>
            </w:r>
            <w:proofErr w:type="spellEnd"/>
          </w:p>
        </w:tc>
      </w:tr>
    </w:tbl>
    <w:p w14:paraId="4C61F7A1" w14:textId="77777777" w:rsidR="00D80271" w:rsidRPr="00D50BAD" w:rsidRDefault="00D80271" w:rsidP="00A5014E">
      <w:pPr>
        <w:rPr>
          <w:rFonts w:ascii="Times New Roman" w:hAnsi="Times New Roman"/>
          <w:sz w:val="24"/>
          <w:szCs w:val="24"/>
          <w:lang w:val="en-GB"/>
        </w:rPr>
      </w:pPr>
    </w:p>
    <w:p w14:paraId="6565C343" w14:textId="77777777" w:rsidR="00D80271" w:rsidRPr="00D50BAD" w:rsidRDefault="00D80271" w:rsidP="00A5014E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 xml:space="preserve">2. Information regarding the discipline </w:t>
      </w: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720"/>
        <w:gridCol w:w="1260"/>
        <w:gridCol w:w="450"/>
        <w:gridCol w:w="2250"/>
        <w:gridCol w:w="540"/>
        <w:gridCol w:w="2160"/>
        <w:gridCol w:w="719"/>
      </w:tblGrid>
      <w:tr w:rsidR="00D80271" w:rsidRPr="00D50BAD" w14:paraId="59AE9EE8" w14:textId="77777777" w:rsidTr="00FE0647">
        <w:tc>
          <w:tcPr>
            <w:tcW w:w="3978" w:type="dxa"/>
            <w:gridSpan w:val="3"/>
          </w:tcPr>
          <w:p w14:paraId="1663DF7E" w14:textId="5E6292A6" w:rsidR="00EE5AFF" w:rsidRPr="00D50BAD" w:rsidRDefault="00D80271" w:rsidP="00060642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2.1 Name of the discipline</w:t>
            </w:r>
            <w:r w:rsidR="001502EA"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1502EA" w:rsidRPr="00D50BAD">
              <w:rPr>
                <w:rFonts w:ascii="Times New Roman" w:hAnsi="Times New Roman"/>
                <w:sz w:val="24"/>
                <w:szCs w:val="24"/>
                <w:lang w:val="en-GB"/>
              </w:rPr>
              <w:t>en</w:t>
            </w:r>
            <w:proofErr w:type="spellEnd"/>
            <w:r w:rsidR="005E2947" w:rsidRPr="00D50BAD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D50BAD"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E2947" w:rsidRPr="00D50BAD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="00EE5AFF" w:rsidRPr="00D50BAD">
              <w:rPr>
                <w:rFonts w:ascii="Times New Roman" w:hAnsi="Times New Roman"/>
                <w:sz w:val="24"/>
                <w:szCs w:val="24"/>
                <w:lang w:val="en-GB"/>
              </w:rPr>
              <w:t>ro</w:t>
            </w:r>
            <w:proofErr w:type="spellEnd"/>
            <w:r w:rsidR="00EE5AFF" w:rsidRPr="00D50BAD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6119" w:type="dxa"/>
            <w:gridSpan w:val="5"/>
          </w:tcPr>
          <w:p w14:paraId="1081ABF5" w14:textId="06A0E378" w:rsidR="00D80271" w:rsidRPr="00D50BAD" w:rsidRDefault="00D50BAD" w:rsidP="00D50BAD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50BAD">
              <w:rPr>
                <w:rFonts w:ascii="Times New Roman" w:hAnsi="Times New Roman"/>
                <w:color w:val="000000"/>
                <w:sz w:val="24"/>
                <w:szCs w:val="24"/>
              </w:rPr>
              <w:t>Governance</w:t>
            </w:r>
            <w:proofErr w:type="spellEnd"/>
            <w:r w:rsidRPr="00D50B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  <w:sz w:val="24"/>
                <w:szCs w:val="24"/>
              </w:rPr>
              <w:t>studies</w:t>
            </w:r>
            <w:proofErr w:type="spellEnd"/>
            <w:r w:rsidRPr="00D50BAD">
              <w:rPr>
                <w:rFonts w:ascii="Times New Roman" w:hAnsi="Times New Roman"/>
                <w:color w:val="000000"/>
                <w:sz w:val="24"/>
                <w:szCs w:val="24"/>
              </w:rPr>
              <w:t>/ Studii de guvernanta si guvernare</w:t>
            </w:r>
          </w:p>
        </w:tc>
      </w:tr>
      <w:tr w:rsidR="00D80271" w:rsidRPr="00D50BAD" w14:paraId="35A09CFF" w14:textId="77777777" w:rsidTr="00FE0647">
        <w:tc>
          <w:tcPr>
            <w:tcW w:w="3978" w:type="dxa"/>
            <w:gridSpan w:val="3"/>
          </w:tcPr>
          <w:p w14:paraId="1B13205F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2.2 Course coordinator </w:t>
            </w:r>
          </w:p>
        </w:tc>
        <w:tc>
          <w:tcPr>
            <w:tcW w:w="6119" w:type="dxa"/>
            <w:gridSpan w:val="5"/>
          </w:tcPr>
          <w:p w14:paraId="47CD9A2D" w14:textId="56985913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Anca Sinea, PhD. Lect.</w:t>
            </w:r>
          </w:p>
        </w:tc>
      </w:tr>
      <w:tr w:rsidR="00D80271" w:rsidRPr="00D50BAD" w14:paraId="2FA8116F" w14:textId="77777777" w:rsidTr="00FE0647">
        <w:trPr>
          <w:trHeight w:val="413"/>
        </w:trPr>
        <w:tc>
          <w:tcPr>
            <w:tcW w:w="3978" w:type="dxa"/>
            <w:gridSpan w:val="3"/>
          </w:tcPr>
          <w:p w14:paraId="6DB3A4A5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2.3 Seminar coordinator</w:t>
            </w:r>
          </w:p>
        </w:tc>
        <w:tc>
          <w:tcPr>
            <w:tcW w:w="6119" w:type="dxa"/>
            <w:gridSpan w:val="5"/>
          </w:tcPr>
          <w:p w14:paraId="1FC04F1F" w14:textId="6266CFB1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Anca Sinea, PhD. Lect.</w:t>
            </w:r>
          </w:p>
        </w:tc>
      </w:tr>
      <w:tr w:rsidR="00FE0647" w:rsidRPr="00D50BAD" w14:paraId="73D8542D" w14:textId="77777777" w:rsidTr="00FE0647">
        <w:trPr>
          <w:trHeight w:val="440"/>
        </w:trPr>
        <w:tc>
          <w:tcPr>
            <w:tcW w:w="1998" w:type="dxa"/>
          </w:tcPr>
          <w:p w14:paraId="5DB19980" w14:textId="77777777" w:rsidR="00D80271" w:rsidRPr="00D50BAD" w:rsidRDefault="00D80271" w:rsidP="00A5014E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2.4. Year of study</w:t>
            </w:r>
          </w:p>
        </w:tc>
        <w:tc>
          <w:tcPr>
            <w:tcW w:w="720" w:type="dxa"/>
          </w:tcPr>
          <w:p w14:paraId="015ABCF7" w14:textId="65431B0E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260" w:type="dxa"/>
          </w:tcPr>
          <w:p w14:paraId="110FEDB4" w14:textId="77777777" w:rsidR="00D80271" w:rsidRPr="00D50BAD" w:rsidRDefault="00D80271" w:rsidP="00A5014E">
            <w:pPr>
              <w:spacing w:after="0"/>
              <w:ind w:left="-82" w:right="-16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2.5 Semester</w:t>
            </w:r>
          </w:p>
        </w:tc>
        <w:tc>
          <w:tcPr>
            <w:tcW w:w="450" w:type="dxa"/>
          </w:tcPr>
          <w:p w14:paraId="2B1EDF0C" w14:textId="5A71C538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250" w:type="dxa"/>
          </w:tcPr>
          <w:p w14:paraId="5A5F875E" w14:textId="77777777" w:rsidR="00D80271" w:rsidRPr="00D50BAD" w:rsidRDefault="00D80271" w:rsidP="00A5014E">
            <w:pPr>
              <w:spacing w:after="0"/>
              <w:ind w:left="-80" w:right="-12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2.6. Type of evaluation</w:t>
            </w:r>
          </w:p>
        </w:tc>
        <w:tc>
          <w:tcPr>
            <w:tcW w:w="540" w:type="dxa"/>
          </w:tcPr>
          <w:p w14:paraId="1DD90598" w14:textId="59A7ED14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</w:p>
        </w:tc>
        <w:tc>
          <w:tcPr>
            <w:tcW w:w="2160" w:type="dxa"/>
          </w:tcPr>
          <w:p w14:paraId="29B84B52" w14:textId="77777777" w:rsidR="00D80271" w:rsidRPr="00D50BAD" w:rsidRDefault="00D80271" w:rsidP="00A5014E">
            <w:pPr>
              <w:spacing w:after="0"/>
              <w:ind w:left="-38" w:right="-136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2.7 Type of discipline</w:t>
            </w:r>
          </w:p>
        </w:tc>
        <w:tc>
          <w:tcPr>
            <w:tcW w:w="719" w:type="dxa"/>
          </w:tcPr>
          <w:p w14:paraId="1E2E5DFC" w14:textId="7D5BF626" w:rsidR="00D80271" w:rsidRPr="00D50BAD" w:rsidRDefault="00D50BAD" w:rsidP="0006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DS</w:t>
            </w:r>
          </w:p>
        </w:tc>
      </w:tr>
      <w:tr w:rsidR="002031AD" w:rsidRPr="00D50BAD" w14:paraId="2EABB5C0" w14:textId="77777777" w:rsidTr="00FE0647">
        <w:tc>
          <w:tcPr>
            <w:tcW w:w="2718" w:type="dxa"/>
            <w:gridSpan w:val="2"/>
          </w:tcPr>
          <w:p w14:paraId="4D223510" w14:textId="77777777" w:rsidR="002031AD" w:rsidRPr="00D50BAD" w:rsidRDefault="002031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2.8 Code of the discipline</w:t>
            </w:r>
          </w:p>
        </w:tc>
        <w:tc>
          <w:tcPr>
            <w:tcW w:w="1260" w:type="dxa"/>
          </w:tcPr>
          <w:p w14:paraId="345A8440" w14:textId="7EAA74C5" w:rsidR="002031AD" w:rsidRPr="00D50BAD" w:rsidRDefault="00D50BAD" w:rsidP="00D50BAD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50BAD">
              <w:rPr>
                <w:rFonts w:ascii="Times New Roman" w:hAnsi="Times New Roman"/>
                <w:color w:val="000000"/>
                <w:sz w:val="24"/>
                <w:szCs w:val="24"/>
              </w:rPr>
              <w:t>ULE1632</w:t>
            </w:r>
          </w:p>
        </w:tc>
        <w:tc>
          <w:tcPr>
            <w:tcW w:w="6119" w:type="dxa"/>
            <w:gridSpan w:val="5"/>
          </w:tcPr>
          <w:p w14:paraId="0F905223" w14:textId="77777777" w:rsidR="002031AD" w:rsidRPr="00D50BAD" w:rsidRDefault="002031AD" w:rsidP="000638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C684099" w14:textId="77777777" w:rsidR="00D80271" w:rsidRPr="00D50BAD" w:rsidRDefault="00D80271" w:rsidP="00A5014E">
      <w:pPr>
        <w:rPr>
          <w:rFonts w:ascii="Times New Roman" w:hAnsi="Times New Roman"/>
          <w:sz w:val="24"/>
          <w:szCs w:val="24"/>
          <w:lang w:val="en-GB"/>
        </w:rPr>
      </w:pPr>
    </w:p>
    <w:p w14:paraId="1682E9C1" w14:textId="77777777" w:rsidR="00D80271" w:rsidRPr="00D50BAD" w:rsidRDefault="00D80271" w:rsidP="00A5014E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3. Total estimated time</w:t>
      </w:r>
      <w:r w:rsidRPr="00D50BAD">
        <w:rPr>
          <w:rFonts w:ascii="Times New Roman" w:hAnsi="Times New Roman"/>
          <w:sz w:val="24"/>
          <w:szCs w:val="24"/>
          <w:lang w:val="en-GB"/>
        </w:rPr>
        <w:t xml:space="preserve"> (hours/semester of didactic activities)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567"/>
        <w:gridCol w:w="1364"/>
        <w:gridCol w:w="904"/>
        <w:gridCol w:w="567"/>
        <w:gridCol w:w="2399"/>
        <w:gridCol w:w="827"/>
      </w:tblGrid>
      <w:tr w:rsidR="00D80271" w:rsidRPr="00D50BAD" w14:paraId="07BA9FB8" w14:textId="77777777" w:rsidTr="00D50BAD">
        <w:tc>
          <w:tcPr>
            <w:tcW w:w="3397" w:type="dxa"/>
          </w:tcPr>
          <w:p w14:paraId="374E3F1F" w14:textId="77777777" w:rsidR="00D80271" w:rsidRPr="00D50BAD" w:rsidRDefault="00D80271" w:rsidP="00036CBD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3.1 Hours per week </w:t>
            </w:r>
          </w:p>
        </w:tc>
        <w:tc>
          <w:tcPr>
            <w:tcW w:w="567" w:type="dxa"/>
          </w:tcPr>
          <w:p w14:paraId="4FD84FF8" w14:textId="0D549925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268" w:type="dxa"/>
            <w:gridSpan w:val="2"/>
          </w:tcPr>
          <w:p w14:paraId="3880B06A" w14:textId="77777777" w:rsidR="00D80271" w:rsidRPr="00D50BAD" w:rsidRDefault="00D80271" w:rsidP="00A5014E">
            <w:pPr>
              <w:spacing w:after="0"/>
              <w:ind w:right="-189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Of which: 3.2 course</w:t>
            </w:r>
          </w:p>
        </w:tc>
        <w:tc>
          <w:tcPr>
            <w:tcW w:w="567" w:type="dxa"/>
          </w:tcPr>
          <w:p w14:paraId="3BFCABBF" w14:textId="0183CED3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99" w:type="dxa"/>
          </w:tcPr>
          <w:p w14:paraId="6755A509" w14:textId="77777777" w:rsidR="00D80271" w:rsidRPr="00D50BAD" w:rsidRDefault="00D80271" w:rsidP="00A5014E">
            <w:pPr>
              <w:spacing w:after="0"/>
              <w:ind w:right="-17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3.3 seminar/laboratory</w:t>
            </w:r>
          </w:p>
        </w:tc>
        <w:tc>
          <w:tcPr>
            <w:tcW w:w="827" w:type="dxa"/>
          </w:tcPr>
          <w:p w14:paraId="5BA944A0" w14:textId="38A238D6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</w:tr>
      <w:tr w:rsidR="00D80271" w:rsidRPr="00D50BAD" w14:paraId="7AAE6862" w14:textId="77777777" w:rsidTr="00D50BAD">
        <w:tc>
          <w:tcPr>
            <w:tcW w:w="3397" w:type="dxa"/>
            <w:shd w:val="clear" w:color="auto" w:fill="D9D9D9"/>
          </w:tcPr>
          <w:p w14:paraId="1D8E1769" w14:textId="77777777" w:rsidR="00D80271" w:rsidRPr="00D50BAD" w:rsidRDefault="00D80271" w:rsidP="00081F59">
            <w:pPr>
              <w:spacing w:after="0"/>
              <w:ind w:right="-19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3.4 Total hours in the curriculum </w:t>
            </w:r>
          </w:p>
        </w:tc>
        <w:tc>
          <w:tcPr>
            <w:tcW w:w="567" w:type="dxa"/>
            <w:shd w:val="clear" w:color="auto" w:fill="D9D9D9"/>
          </w:tcPr>
          <w:p w14:paraId="6F24C825" w14:textId="29BBB4DE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711F2BB3" w14:textId="77777777" w:rsidR="00D80271" w:rsidRPr="00D50BAD" w:rsidRDefault="00D80271" w:rsidP="00A5014E">
            <w:pPr>
              <w:spacing w:after="0"/>
              <w:ind w:right="-17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Of which: 3.5 course</w:t>
            </w:r>
          </w:p>
        </w:tc>
        <w:tc>
          <w:tcPr>
            <w:tcW w:w="567" w:type="dxa"/>
            <w:shd w:val="clear" w:color="auto" w:fill="D9D9D9"/>
          </w:tcPr>
          <w:p w14:paraId="53DC6065" w14:textId="75AD3D32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2399" w:type="dxa"/>
            <w:shd w:val="clear" w:color="auto" w:fill="D9D9D9"/>
          </w:tcPr>
          <w:p w14:paraId="486AF1F6" w14:textId="77777777" w:rsidR="00D80271" w:rsidRPr="00D50BAD" w:rsidRDefault="00D80271" w:rsidP="00A5014E">
            <w:pPr>
              <w:spacing w:after="0"/>
              <w:ind w:right="-12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3.6 seminar/laboratory</w:t>
            </w:r>
          </w:p>
        </w:tc>
        <w:tc>
          <w:tcPr>
            <w:tcW w:w="827" w:type="dxa"/>
            <w:shd w:val="clear" w:color="auto" w:fill="D9D9D9"/>
          </w:tcPr>
          <w:p w14:paraId="49D13A17" w14:textId="469CDD5E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</w:t>
            </w:r>
          </w:p>
        </w:tc>
      </w:tr>
      <w:tr w:rsidR="00D80271" w:rsidRPr="00D50BAD" w14:paraId="30F27DE5" w14:textId="77777777" w:rsidTr="00B46AA2">
        <w:tc>
          <w:tcPr>
            <w:tcW w:w="9198" w:type="dxa"/>
            <w:gridSpan w:val="6"/>
          </w:tcPr>
          <w:p w14:paraId="0FE76440" w14:textId="10FA7D19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Time allotment:</w:t>
            </w:r>
            <w:r w:rsidR="00D50BAD">
              <w:rPr>
                <w:rFonts w:ascii="Times New Roman" w:hAnsi="Times New Roman"/>
                <w:sz w:val="24"/>
                <w:szCs w:val="24"/>
              </w:rPr>
              <w:t xml:space="preserve"> 3hrs. face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face, 7hrs. individual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27" w:type="dxa"/>
          </w:tcPr>
          <w:p w14:paraId="3AFDAD6A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hours</w:t>
            </w:r>
          </w:p>
        </w:tc>
      </w:tr>
      <w:tr w:rsidR="00D80271" w:rsidRPr="00D50BAD" w14:paraId="0BA49EE0" w14:textId="77777777" w:rsidTr="00B46AA2">
        <w:tc>
          <w:tcPr>
            <w:tcW w:w="9198" w:type="dxa"/>
            <w:gridSpan w:val="6"/>
          </w:tcPr>
          <w:p w14:paraId="61D4917B" w14:textId="77777777" w:rsidR="00D80271" w:rsidRPr="00D50BAD" w:rsidRDefault="00D80271" w:rsidP="00081F59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Learning using manual, course support, bibliography, course notes</w:t>
            </w:r>
          </w:p>
        </w:tc>
        <w:tc>
          <w:tcPr>
            <w:tcW w:w="827" w:type="dxa"/>
          </w:tcPr>
          <w:p w14:paraId="32DE0CFA" w14:textId="6201E8AC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3x12</w:t>
            </w:r>
          </w:p>
        </w:tc>
      </w:tr>
      <w:tr w:rsidR="00D80271" w:rsidRPr="00D50BAD" w14:paraId="13B9FD98" w14:textId="77777777" w:rsidTr="00B46AA2">
        <w:tc>
          <w:tcPr>
            <w:tcW w:w="9198" w:type="dxa"/>
            <w:gridSpan w:val="6"/>
          </w:tcPr>
          <w:p w14:paraId="456FB8DD" w14:textId="77777777" w:rsidR="00D80271" w:rsidRPr="00D50BAD" w:rsidRDefault="00D80271" w:rsidP="005A417D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Additional documentation (in libraries, on electronic platforms, field documentation) </w:t>
            </w:r>
          </w:p>
        </w:tc>
        <w:tc>
          <w:tcPr>
            <w:tcW w:w="827" w:type="dxa"/>
          </w:tcPr>
          <w:p w14:paraId="6A13C6AE" w14:textId="017B7E84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1x12</w:t>
            </w:r>
          </w:p>
        </w:tc>
      </w:tr>
      <w:tr w:rsidR="00D80271" w:rsidRPr="00D50BAD" w14:paraId="04141855" w14:textId="77777777" w:rsidTr="00B46AA2">
        <w:tc>
          <w:tcPr>
            <w:tcW w:w="9198" w:type="dxa"/>
            <w:gridSpan w:val="6"/>
          </w:tcPr>
          <w:p w14:paraId="614277C6" w14:textId="77777777" w:rsidR="00D80271" w:rsidRPr="00D50BAD" w:rsidRDefault="00D80271" w:rsidP="007A7F4C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Preparation for seminars/labs, homework, papers, portfolios and essays</w:t>
            </w:r>
          </w:p>
        </w:tc>
        <w:tc>
          <w:tcPr>
            <w:tcW w:w="827" w:type="dxa"/>
          </w:tcPr>
          <w:p w14:paraId="4DF9D2AD" w14:textId="467A068A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3x12</w:t>
            </w:r>
          </w:p>
        </w:tc>
      </w:tr>
      <w:tr w:rsidR="00D80271" w:rsidRPr="00D50BAD" w14:paraId="691303B8" w14:textId="77777777" w:rsidTr="00B46AA2">
        <w:tc>
          <w:tcPr>
            <w:tcW w:w="9198" w:type="dxa"/>
            <w:gridSpan w:val="6"/>
          </w:tcPr>
          <w:p w14:paraId="11F6346C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Tutorship</w:t>
            </w:r>
          </w:p>
        </w:tc>
        <w:tc>
          <w:tcPr>
            <w:tcW w:w="827" w:type="dxa"/>
          </w:tcPr>
          <w:p w14:paraId="2D45C7E9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550C3930" w14:textId="77777777" w:rsidTr="00B46AA2">
        <w:tc>
          <w:tcPr>
            <w:tcW w:w="9198" w:type="dxa"/>
            <w:gridSpan w:val="6"/>
          </w:tcPr>
          <w:p w14:paraId="19828E07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Evaluations</w:t>
            </w:r>
          </w:p>
        </w:tc>
        <w:tc>
          <w:tcPr>
            <w:tcW w:w="827" w:type="dxa"/>
          </w:tcPr>
          <w:p w14:paraId="408F5066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4AF6731B" w14:textId="77777777" w:rsidTr="00B46AA2">
        <w:tc>
          <w:tcPr>
            <w:tcW w:w="9198" w:type="dxa"/>
            <w:gridSpan w:val="6"/>
          </w:tcPr>
          <w:p w14:paraId="50FAC200" w14:textId="77777777" w:rsidR="00D80271" w:rsidRPr="00D50BAD" w:rsidRDefault="00D80271" w:rsidP="005A417D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Other activities: ..................</w:t>
            </w:r>
          </w:p>
        </w:tc>
        <w:tc>
          <w:tcPr>
            <w:tcW w:w="827" w:type="dxa"/>
          </w:tcPr>
          <w:p w14:paraId="3EF1527E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33261DBC" w14:textId="77777777" w:rsidTr="00D50BAD">
        <w:trPr>
          <w:gridAfter w:val="4"/>
          <w:wAfter w:w="4697" w:type="dxa"/>
        </w:trPr>
        <w:tc>
          <w:tcPr>
            <w:tcW w:w="3964" w:type="dxa"/>
            <w:gridSpan w:val="2"/>
            <w:shd w:val="clear" w:color="auto" w:fill="D9D9D9"/>
          </w:tcPr>
          <w:p w14:paraId="6BAAA9A6" w14:textId="77777777" w:rsidR="00D80271" w:rsidRPr="00D50BAD" w:rsidRDefault="00D80271" w:rsidP="005A417D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3.7 Total individual study hours </w:t>
            </w:r>
          </w:p>
        </w:tc>
        <w:tc>
          <w:tcPr>
            <w:tcW w:w="1364" w:type="dxa"/>
            <w:shd w:val="clear" w:color="auto" w:fill="D9D9D9"/>
          </w:tcPr>
          <w:p w14:paraId="0D3B3327" w14:textId="545C7D83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84</w:t>
            </w:r>
          </w:p>
        </w:tc>
      </w:tr>
      <w:tr w:rsidR="00D80271" w:rsidRPr="00D50BAD" w14:paraId="1699DED6" w14:textId="77777777" w:rsidTr="00D50BAD">
        <w:trPr>
          <w:gridAfter w:val="4"/>
          <w:wAfter w:w="4697" w:type="dxa"/>
        </w:trPr>
        <w:tc>
          <w:tcPr>
            <w:tcW w:w="3964" w:type="dxa"/>
            <w:gridSpan w:val="2"/>
            <w:shd w:val="clear" w:color="auto" w:fill="D9D9D9"/>
          </w:tcPr>
          <w:p w14:paraId="584F8279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3.8 Total hours per semester</w:t>
            </w:r>
          </w:p>
        </w:tc>
        <w:tc>
          <w:tcPr>
            <w:tcW w:w="1364" w:type="dxa"/>
            <w:shd w:val="clear" w:color="auto" w:fill="D9D9D9"/>
          </w:tcPr>
          <w:p w14:paraId="7D4D393D" w14:textId="3F3D6EB5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120</w:t>
            </w:r>
          </w:p>
        </w:tc>
      </w:tr>
      <w:tr w:rsidR="00D80271" w:rsidRPr="00D50BAD" w14:paraId="6D690137" w14:textId="77777777" w:rsidTr="00D50BAD">
        <w:trPr>
          <w:gridAfter w:val="4"/>
          <w:wAfter w:w="4697" w:type="dxa"/>
        </w:trPr>
        <w:tc>
          <w:tcPr>
            <w:tcW w:w="3964" w:type="dxa"/>
            <w:gridSpan w:val="2"/>
            <w:shd w:val="clear" w:color="auto" w:fill="D9D9D9"/>
          </w:tcPr>
          <w:p w14:paraId="28066D05" w14:textId="77777777" w:rsidR="00D80271" w:rsidRPr="00D50BAD" w:rsidRDefault="00D80271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3.9 Number of ECTS credits</w:t>
            </w:r>
          </w:p>
        </w:tc>
        <w:tc>
          <w:tcPr>
            <w:tcW w:w="1364" w:type="dxa"/>
            <w:shd w:val="clear" w:color="auto" w:fill="D9D9D9"/>
          </w:tcPr>
          <w:p w14:paraId="199111EA" w14:textId="32CCF79D" w:rsidR="00D80271" w:rsidRPr="00D50BAD" w:rsidRDefault="00D50BAD" w:rsidP="00A5014E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</w:tbl>
    <w:p w14:paraId="7060988F" w14:textId="77777777" w:rsidR="00D80271" w:rsidRPr="00D50BAD" w:rsidRDefault="00D80271" w:rsidP="00A5014E">
      <w:pPr>
        <w:rPr>
          <w:rFonts w:ascii="Times New Roman" w:hAnsi="Times New Roman"/>
          <w:sz w:val="24"/>
          <w:szCs w:val="24"/>
          <w:lang w:val="en-GB"/>
        </w:rPr>
      </w:pPr>
    </w:p>
    <w:p w14:paraId="44C99046" w14:textId="77777777" w:rsidR="00D80271" w:rsidRPr="00D50BAD" w:rsidRDefault="00D80271" w:rsidP="00A5014E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 xml:space="preserve">4. Prerequisites </w:t>
      </w:r>
      <w:r w:rsidRPr="00D50BAD">
        <w:rPr>
          <w:rFonts w:ascii="Times New Roman" w:hAnsi="Times New Roman"/>
          <w:sz w:val="24"/>
          <w:szCs w:val="24"/>
          <w:lang w:val="en-GB"/>
        </w:rPr>
        <w:t>(if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D80271" w:rsidRPr="00D50BAD" w14:paraId="294BE10C" w14:textId="77777777" w:rsidTr="00805280">
        <w:tc>
          <w:tcPr>
            <w:tcW w:w="2988" w:type="dxa"/>
          </w:tcPr>
          <w:p w14:paraId="03B09DAF" w14:textId="77777777" w:rsidR="00D80271" w:rsidRPr="00D50BAD" w:rsidRDefault="00D80271" w:rsidP="00450A21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4.1. curriculum</w:t>
            </w:r>
          </w:p>
        </w:tc>
        <w:tc>
          <w:tcPr>
            <w:tcW w:w="7020" w:type="dxa"/>
          </w:tcPr>
          <w:p w14:paraId="299DE44B" w14:textId="77777777" w:rsidR="00D80271" w:rsidRPr="00D50BAD" w:rsidRDefault="00D80271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058207DD" w14:textId="77777777" w:rsidTr="00805280">
        <w:tc>
          <w:tcPr>
            <w:tcW w:w="2988" w:type="dxa"/>
          </w:tcPr>
          <w:p w14:paraId="5F054DFE" w14:textId="77777777" w:rsidR="00D80271" w:rsidRPr="00D50BAD" w:rsidRDefault="00D80271" w:rsidP="00450A21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4.2. competencies</w:t>
            </w:r>
          </w:p>
        </w:tc>
        <w:tc>
          <w:tcPr>
            <w:tcW w:w="7020" w:type="dxa"/>
          </w:tcPr>
          <w:p w14:paraId="698DF1CC" w14:textId="77777777" w:rsidR="00D80271" w:rsidRPr="00D50BAD" w:rsidRDefault="00D80271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8745A36" w14:textId="77777777" w:rsidR="00D80271" w:rsidRPr="00D50BAD" w:rsidRDefault="00D80271" w:rsidP="00A5014E">
      <w:pPr>
        <w:rPr>
          <w:rFonts w:ascii="Times New Roman" w:hAnsi="Times New Roman"/>
          <w:sz w:val="24"/>
          <w:szCs w:val="24"/>
          <w:lang w:val="en-GB"/>
        </w:rPr>
      </w:pPr>
    </w:p>
    <w:p w14:paraId="52B5BAE8" w14:textId="77777777" w:rsidR="00D80271" w:rsidRPr="00D50BAD" w:rsidRDefault="00D80271" w:rsidP="00A5014E">
      <w:pPr>
        <w:spacing w:after="0"/>
        <w:rPr>
          <w:rFonts w:ascii="Times New Roman" w:hAnsi="Times New Roman"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5. Conditions</w:t>
      </w:r>
      <w:r w:rsidRPr="00D50BAD">
        <w:rPr>
          <w:rFonts w:ascii="Times New Roman" w:hAnsi="Times New Roman"/>
          <w:sz w:val="24"/>
          <w:szCs w:val="24"/>
          <w:lang w:val="en-GB"/>
        </w:rPr>
        <w:t xml:space="preserve"> (if necessary)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7784"/>
      </w:tblGrid>
      <w:tr w:rsidR="00D80271" w:rsidRPr="00D50BAD" w14:paraId="1929E45B" w14:textId="77777777" w:rsidTr="00805280">
        <w:tc>
          <w:tcPr>
            <w:tcW w:w="2988" w:type="dxa"/>
          </w:tcPr>
          <w:p w14:paraId="20D048B3" w14:textId="77777777" w:rsidR="00D80271" w:rsidRPr="00D50BAD" w:rsidRDefault="00D80271" w:rsidP="00450A21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5.1. for the course</w:t>
            </w:r>
          </w:p>
        </w:tc>
        <w:tc>
          <w:tcPr>
            <w:tcW w:w="7694" w:type="dxa"/>
          </w:tcPr>
          <w:p w14:paraId="7181BC83" w14:textId="57762584" w:rsidR="00D80271" w:rsidRPr="00D50BAD" w:rsidRDefault="00D50BAD" w:rsidP="00450A21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Academic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dishonesty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plagiarism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cheating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fabrication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or multiple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submission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tolerated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Punishment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department’s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details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tgtFrame="_blank">
              <w:r>
                <w:rPr>
                  <w:rStyle w:val="InternetLink"/>
                  <w:rFonts w:ascii="Times New Roman" w:hAnsi="Times New Roman"/>
                  <w:sz w:val="24"/>
                  <w:szCs w:val="24"/>
                </w:rPr>
                <w:t>https://www.fspac.ubbcluj.ro/application/files/9215/7017/6735/FSPAC-code-of-ethics.pdf</w:t>
              </w:r>
            </w:hyperlink>
          </w:p>
        </w:tc>
      </w:tr>
      <w:tr w:rsidR="00D80271" w:rsidRPr="00D50BAD" w14:paraId="66CD68E8" w14:textId="77777777" w:rsidTr="00805280">
        <w:tc>
          <w:tcPr>
            <w:tcW w:w="2988" w:type="dxa"/>
          </w:tcPr>
          <w:p w14:paraId="772A26C9" w14:textId="77777777" w:rsidR="00D80271" w:rsidRPr="00D50BAD" w:rsidRDefault="00D80271" w:rsidP="00450A21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5.2.  for the seminar /lab activities</w:t>
            </w:r>
          </w:p>
        </w:tc>
        <w:tc>
          <w:tcPr>
            <w:tcW w:w="7694" w:type="dxa"/>
          </w:tcPr>
          <w:p w14:paraId="271EE1E9" w14:textId="353DE721" w:rsidR="00D80271" w:rsidRPr="00D50BAD" w:rsidRDefault="00D50BAD" w:rsidP="00D50BA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color w:val="000000"/>
              </w:rPr>
            </w:pPr>
            <w:proofErr w:type="spellStart"/>
            <w:r w:rsidRPr="00D50BAD">
              <w:rPr>
                <w:rFonts w:ascii="Times New Roman" w:hAnsi="Times New Roman"/>
                <w:color w:val="000000"/>
              </w:rPr>
              <w:t>Participation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to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75%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percent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seminars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(10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meetings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is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mandatory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according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to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Art. 29 (2) 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“Statute 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BBU Student”. In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case 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lack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50BAD">
              <w:rPr>
                <w:rFonts w:ascii="Times New Roman" w:hAnsi="Times New Roman"/>
                <w:color w:val="000000"/>
              </w:rPr>
              <w:t xml:space="preserve">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attendance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to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75%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percent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seminars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right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to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participate in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exam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is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color w:val="000000"/>
              </w:rPr>
              <w:t>lost</w:t>
            </w:r>
            <w:proofErr w:type="spellEnd"/>
            <w:r w:rsidRPr="00D50BAD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713E6E23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p w14:paraId="0314171A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 xml:space="preserve">6. Specific competencies acquired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9456"/>
      </w:tblGrid>
      <w:tr w:rsidR="00D80271" w:rsidRPr="00D50BAD" w14:paraId="1E3CAC63" w14:textId="77777777" w:rsidTr="004E7C87">
        <w:trPr>
          <w:cantSplit/>
          <w:trHeight w:val="1610"/>
        </w:trPr>
        <w:tc>
          <w:tcPr>
            <w:tcW w:w="1008" w:type="dxa"/>
            <w:shd w:val="clear" w:color="auto" w:fill="D9D9D9"/>
            <w:textDirection w:val="btLr"/>
            <w:vAlign w:val="center"/>
          </w:tcPr>
          <w:p w14:paraId="34C6E097" w14:textId="77777777" w:rsidR="00D80271" w:rsidRPr="00D50BAD" w:rsidRDefault="00D80271" w:rsidP="005F0E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Professional competencies</w:t>
            </w:r>
          </w:p>
        </w:tc>
        <w:tc>
          <w:tcPr>
            <w:tcW w:w="9674" w:type="dxa"/>
            <w:shd w:val="clear" w:color="auto" w:fill="D9D9D9"/>
          </w:tcPr>
          <w:p w14:paraId="1C1BD445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Applying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basics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social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evaluating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social-political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organization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societies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72AB1C54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a particular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situation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applying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certain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fundamental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social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296AA460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 w:rsidRPr="00D50BA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realization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individually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or in a team, of a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project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</w:p>
          <w:p w14:paraId="7B30B2E4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Appropriate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applicable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164BC1A0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conceptual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apparatus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evaluating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relevance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impact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-political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734FE712" w14:textId="77777777" w:rsidR="00D50BAD" w:rsidRP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fundamental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describing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explaining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emergence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unfolding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certain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processes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5D4AF0A0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-political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processes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1EFE242F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Elaborating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analyses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state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16BEF4CC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Identifying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relevant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36C1E1CB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Defining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certain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explaining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particular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disputes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conflicts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social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nature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46FFFE9D" w14:textId="77777777" w:rsid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certain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processes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contemporary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-political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  <w:p w14:paraId="4CA2D7C6" w14:textId="7B458B34" w:rsidR="00D80271" w:rsidRPr="00D50BAD" w:rsidRDefault="00D50BAD" w:rsidP="00D50BAD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Utilizing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technics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of particular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situations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socio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-political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systems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find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themselves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</w:t>
            </w:r>
          </w:p>
        </w:tc>
      </w:tr>
      <w:tr w:rsidR="00D80271" w:rsidRPr="00D50BAD" w14:paraId="0889D6E1" w14:textId="77777777" w:rsidTr="00450A21">
        <w:trPr>
          <w:cantSplit/>
          <w:trHeight w:val="1775"/>
        </w:trPr>
        <w:tc>
          <w:tcPr>
            <w:tcW w:w="1008" w:type="dxa"/>
            <w:shd w:val="clear" w:color="auto" w:fill="D9D9D9"/>
            <w:textDirection w:val="btLr"/>
          </w:tcPr>
          <w:p w14:paraId="18AE0332" w14:textId="77777777" w:rsidR="00D80271" w:rsidRPr="00D50BAD" w:rsidRDefault="00D80271" w:rsidP="005F0EF8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Transversal competencies</w:t>
            </w:r>
          </w:p>
        </w:tc>
        <w:tc>
          <w:tcPr>
            <w:tcW w:w="9674" w:type="dxa"/>
            <w:shd w:val="clear" w:color="auto" w:fill="D9D9D9"/>
          </w:tcPr>
          <w:p w14:paraId="42DC66FF" w14:textId="620D218D" w:rsidR="00D80271" w:rsidRDefault="00D50BAD" w:rsidP="00D50B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Understanding and explaining policy processes</w:t>
            </w:r>
          </w:p>
          <w:p w14:paraId="66BD559A" w14:textId="4547AE09" w:rsidR="00D50BAD" w:rsidRPr="00D50BAD" w:rsidRDefault="00D50BAD" w:rsidP="00D50BAD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utilizing policy evaluation techniques and recommendations</w:t>
            </w:r>
          </w:p>
        </w:tc>
      </w:tr>
    </w:tbl>
    <w:p w14:paraId="2B0538BA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p w14:paraId="025DF9E3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7. Objectives of the discipline</w:t>
      </w:r>
      <w:r w:rsidRPr="00D50BAD">
        <w:rPr>
          <w:rFonts w:ascii="Times New Roman" w:hAnsi="Times New Roman"/>
          <w:sz w:val="24"/>
          <w:szCs w:val="24"/>
          <w:lang w:val="en-GB"/>
        </w:rPr>
        <w:t xml:space="preserve"> (outcome of the acquired competencies)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7532"/>
      </w:tblGrid>
      <w:tr w:rsidR="00D80271" w:rsidRPr="00D50BAD" w14:paraId="03EC12EF" w14:textId="77777777" w:rsidTr="00450A21">
        <w:tc>
          <w:tcPr>
            <w:tcW w:w="2988" w:type="dxa"/>
            <w:shd w:val="clear" w:color="auto" w:fill="D9D9D9"/>
          </w:tcPr>
          <w:p w14:paraId="6A48236C" w14:textId="77777777" w:rsidR="00D80271" w:rsidRPr="00D50BAD" w:rsidRDefault="00D80271" w:rsidP="00905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7.1 General objective of the discipline</w:t>
            </w:r>
          </w:p>
          <w:p w14:paraId="6C83DBA6" w14:textId="77777777" w:rsidR="00D80271" w:rsidRPr="00D50BAD" w:rsidRDefault="00D80271" w:rsidP="00905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94" w:type="dxa"/>
            <w:shd w:val="clear" w:color="auto" w:fill="D9D9D9"/>
          </w:tcPr>
          <w:p w14:paraId="198E51FD" w14:textId="2D790142" w:rsidR="00D80271" w:rsidRPr="00D50BAD" w:rsidRDefault="00D50BAD" w:rsidP="00D50BAD"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basic conceptual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systematic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functioning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EU. The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evolutions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governance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centered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policies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involve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individual academic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reporting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topics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0271" w:rsidRPr="00D50BAD" w14:paraId="05B686BE" w14:textId="77777777" w:rsidTr="009051B1">
        <w:trPr>
          <w:trHeight w:val="518"/>
        </w:trPr>
        <w:tc>
          <w:tcPr>
            <w:tcW w:w="2988" w:type="dxa"/>
            <w:shd w:val="clear" w:color="auto" w:fill="D9D9D9"/>
          </w:tcPr>
          <w:p w14:paraId="129EFAE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7.2 Specific objective of the discipline</w:t>
            </w:r>
          </w:p>
          <w:p w14:paraId="780BF323" w14:textId="77777777" w:rsidR="00D80271" w:rsidRPr="00D50BAD" w:rsidRDefault="00D80271" w:rsidP="00905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7694" w:type="dxa"/>
            <w:shd w:val="clear" w:color="auto" w:fill="D9D9D9"/>
          </w:tcPr>
          <w:p w14:paraId="43FED550" w14:textId="77777777" w:rsidR="00D50BAD" w:rsidRDefault="00D50BAD" w:rsidP="00D50BAD">
            <w:pPr>
              <w:numPr>
                <w:ilvl w:val="0"/>
                <w:numId w:val="8"/>
              </w:numPr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fundamental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interpretative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frameworks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needed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systematic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EU.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principles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democratic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governance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broader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applying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complex social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political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involve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decision-making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7B7EA5" w14:textId="224A2D44" w:rsidR="00D80271" w:rsidRPr="00D50BAD" w:rsidRDefault="00D50BAD" w:rsidP="00D50BA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European Union, European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construction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deepening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widening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European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interdependence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subsidiarity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generis, acquis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communautaire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European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European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treaties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intergovernmentalism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supranationalism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federalism,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multilevel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governance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decision-making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legislation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interests</w:t>
            </w:r>
            <w:proofErr w:type="spellEnd"/>
          </w:p>
        </w:tc>
      </w:tr>
    </w:tbl>
    <w:p w14:paraId="465BD1CF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p w14:paraId="4B8CC12C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8. Content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4"/>
        <w:gridCol w:w="1294"/>
        <w:gridCol w:w="1368"/>
      </w:tblGrid>
      <w:tr w:rsidR="00D80271" w:rsidRPr="00D50BAD" w14:paraId="2984EC5C" w14:textId="77777777" w:rsidTr="00E1508A">
        <w:tc>
          <w:tcPr>
            <w:tcW w:w="7794" w:type="dxa"/>
            <w:shd w:val="clear" w:color="auto" w:fill="D9D9D9"/>
          </w:tcPr>
          <w:p w14:paraId="71DBA00E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8.1 Course</w:t>
            </w:r>
          </w:p>
        </w:tc>
        <w:tc>
          <w:tcPr>
            <w:tcW w:w="1294" w:type="dxa"/>
          </w:tcPr>
          <w:p w14:paraId="11982895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Teaching methods</w:t>
            </w:r>
          </w:p>
        </w:tc>
        <w:tc>
          <w:tcPr>
            <w:tcW w:w="1368" w:type="dxa"/>
          </w:tcPr>
          <w:p w14:paraId="15599A6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Remarks</w:t>
            </w:r>
          </w:p>
        </w:tc>
      </w:tr>
      <w:tr w:rsidR="00D80271" w:rsidRPr="00D50BAD" w14:paraId="169B5E08" w14:textId="77777777" w:rsidTr="00E1508A">
        <w:tc>
          <w:tcPr>
            <w:tcW w:w="7794" w:type="dxa"/>
            <w:shd w:val="clear" w:color="auto" w:fill="D9D9D9"/>
          </w:tcPr>
          <w:p w14:paraId="02DCF771" w14:textId="77777777" w:rsidR="00D50BAD" w:rsidRDefault="00D50BAD" w:rsidP="00D50B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Introductory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course</w:t>
            </w:r>
            <w:proofErr w:type="spellEnd"/>
          </w:p>
          <w:p w14:paraId="6B6C4CD4" w14:textId="197A5084" w:rsidR="00D80271" w:rsidRPr="00D50BAD" w:rsidRDefault="00D50BAD" w:rsidP="00D50BA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syllabus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requirements</w:t>
            </w:r>
            <w:proofErr w:type="spellEnd"/>
          </w:p>
        </w:tc>
        <w:tc>
          <w:tcPr>
            <w:tcW w:w="1294" w:type="dxa"/>
          </w:tcPr>
          <w:p w14:paraId="34CC3ED4" w14:textId="6504B76B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1A930E61" w14:textId="4B74D623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expected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clarification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regarding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requirements</w:t>
            </w:r>
            <w:proofErr w:type="spellEnd"/>
          </w:p>
        </w:tc>
      </w:tr>
      <w:tr w:rsidR="00D80271" w:rsidRPr="00D50BAD" w14:paraId="56A97FD1" w14:textId="77777777" w:rsidTr="00E1508A">
        <w:tc>
          <w:tcPr>
            <w:tcW w:w="7794" w:type="dxa"/>
            <w:shd w:val="clear" w:color="auto" w:fill="D9D9D9"/>
          </w:tcPr>
          <w:p w14:paraId="046F8E48" w14:textId="77777777" w:rsidR="00D50BAD" w:rsidRPr="00540E87" w:rsidRDefault="00D50BAD" w:rsidP="00D50BAD">
            <w:pPr>
              <w:keepNext/>
              <w:keepLines/>
              <w:numPr>
                <w:ilvl w:val="5"/>
                <w:numId w:val="15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Fundamental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European Union</w:t>
            </w:r>
          </w:p>
          <w:p w14:paraId="46B207B8" w14:textId="77777777" w:rsidR="00D50BAD" w:rsidRPr="00B70C8C" w:rsidRDefault="00D50BAD" w:rsidP="00D50BAD">
            <w:pPr>
              <w:keepNext/>
              <w:keepLines/>
              <w:numPr>
                <w:ilvl w:val="5"/>
                <w:numId w:val="15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interactive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most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important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questions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existence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sustainability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models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EU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70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0C8C">
              <w:rPr>
                <w:rFonts w:ascii="Times New Roman" w:hAnsi="Times New Roman"/>
                <w:sz w:val="24"/>
                <w:szCs w:val="24"/>
              </w:rPr>
              <w:t>discussed</w:t>
            </w:r>
            <w:proofErr w:type="spellEnd"/>
          </w:p>
          <w:p w14:paraId="36DEF416" w14:textId="77777777" w:rsidR="00D50BAD" w:rsidRPr="00B67316" w:rsidRDefault="00D50BAD" w:rsidP="00D50B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173149F" w14:textId="41C65CA0" w:rsidR="00D80271" w:rsidRPr="00D50BAD" w:rsidRDefault="00D50BAD" w:rsidP="00D50BA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70C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Nugent, N. The Government and Politics of the European Union, Bloomsbury Publishing, 2017, Ch.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Pr="00B70C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14:paraId="16EB0F0D" w14:textId="26921ACE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52AD1FCB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7CEEBD0F" w14:textId="77777777" w:rsidTr="00E1508A">
        <w:tc>
          <w:tcPr>
            <w:tcW w:w="7794" w:type="dxa"/>
            <w:shd w:val="clear" w:color="auto" w:fill="D9D9D9"/>
          </w:tcPr>
          <w:p w14:paraId="710C5F89" w14:textId="77777777" w:rsidR="00D50BAD" w:rsidRDefault="00D50BAD" w:rsidP="00D50B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The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of European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integration</w:t>
            </w:r>
            <w:proofErr w:type="spellEnd"/>
          </w:p>
          <w:p w14:paraId="02BA0F9F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1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most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important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moments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of EU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discussed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historical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perspective.</w:t>
            </w:r>
          </w:p>
          <w:p w14:paraId="36F5FC30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8847A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E5EE7EE" w14:textId="77777777" w:rsidR="00D50BAD" w:rsidRPr="00B67316" w:rsidRDefault="00D50BAD" w:rsidP="00D50BA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673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Nugent, N. The Government and Politics of the European Union, Bloomsbury Publishing, 2017, Ch. 2-5</w:t>
            </w:r>
          </w:p>
          <w:p w14:paraId="09F4645D" w14:textId="77777777" w:rsidR="00D50BAD" w:rsidRPr="00B67316" w:rsidRDefault="00D50BAD" w:rsidP="00D50B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99634C" w14:textId="7FBB0186" w:rsidR="00D80271" w:rsidRPr="00D50BAD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>. 1-3</w:t>
            </w:r>
          </w:p>
        </w:tc>
        <w:tc>
          <w:tcPr>
            <w:tcW w:w="1294" w:type="dxa"/>
          </w:tcPr>
          <w:p w14:paraId="7A832370" w14:textId="045970F9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13F36ECF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60C9BF6F" w14:textId="77777777" w:rsidTr="00E1508A">
        <w:tc>
          <w:tcPr>
            <w:tcW w:w="7794" w:type="dxa"/>
            <w:shd w:val="clear" w:color="auto" w:fill="D9D9D9"/>
          </w:tcPr>
          <w:p w14:paraId="61974384" w14:textId="77777777" w:rsidR="00D50BAD" w:rsidRDefault="00D50BAD" w:rsidP="00D50B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Ideas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EU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integration</w:t>
            </w:r>
            <w:proofErr w:type="spellEnd"/>
          </w:p>
          <w:p w14:paraId="03061C9D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16">
              <w:rPr>
                <w:rFonts w:ascii="Times New Roman" w:hAnsi="Times New Roman"/>
                <w:sz w:val="24"/>
                <w:szCs w:val="24"/>
              </w:rPr>
              <w:t xml:space="preserve">The idea of European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integration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complex. The fundamental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, on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idea of a European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union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based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, but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also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ideas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are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contrary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European ideal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explored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this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. The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most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important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values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which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EU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stands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operationalization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policies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also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discussed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84579A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217B01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4B78877D" w14:textId="77777777" w:rsidR="00D50BAD" w:rsidRPr="00B67316" w:rsidRDefault="00D50BAD" w:rsidP="00D50BA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673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Nugent, N. The Government and Politics of the European Union, Bloomsbury Publishing, 2017, Ch. 24-25</w:t>
            </w:r>
          </w:p>
          <w:p w14:paraId="69F2B41A" w14:textId="77777777" w:rsidR="00D50BAD" w:rsidRPr="00B67316" w:rsidRDefault="00D50BAD" w:rsidP="00D50B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D7DBB0" w14:textId="1EF446A7" w:rsidR="00D80271" w:rsidRPr="00D50BAD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Biscop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>, S. et al (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eds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). The EU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Strategy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Forging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a Global Europe,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Routledge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2008,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>. 14, 24</w:t>
            </w:r>
          </w:p>
        </w:tc>
        <w:tc>
          <w:tcPr>
            <w:tcW w:w="1294" w:type="dxa"/>
          </w:tcPr>
          <w:p w14:paraId="0D13D6DE" w14:textId="764FB6C7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4D26B3BA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14E9B3A0" w14:textId="77777777" w:rsidTr="00E1508A">
        <w:tc>
          <w:tcPr>
            <w:tcW w:w="7794" w:type="dxa"/>
            <w:shd w:val="clear" w:color="auto" w:fill="D9D9D9"/>
          </w:tcPr>
          <w:p w14:paraId="01C79F93" w14:textId="35CC2F92" w:rsidR="00D50BAD" w:rsidRPr="00A51BF7" w:rsidRDefault="00D50BAD" w:rsidP="00D50B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EU </w:t>
            </w:r>
            <w:proofErr w:type="spellStart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>international</w:t>
            </w:r>
            <w:proofErr w:type="spellEnd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 leadership. </w:t>
            </w:r>
            <w:proofErr w:type="spellStart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>neighbourhood</w:t>
            </w:r>
            <w:proofErr w:type="spellEnd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>policy</w:t>
            </w:r>
            <w:proofErr w:type="spellEnd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A51BF7" w:rsidRPr="00A51BF7">
              <w:rPr>
                <w:rFonts w:ascii="Times New Roman" w:hAnsi="Times New Roman"/>
                <w:b/>
                <w:sz w:val="24"/>
                <w:szCs w:val="24"/>
              </w:rPr>
              <w:t>enlargement</w:t>
            </w:r>
            <w:proofErr w:type="spellEnd"/>
          </w:p>
          <w:p w14:paraId="0E8B442D" w14:textId="77777777" w:rsidR="00A51BF7" w:rsidRPr="00A51BF7" w:rsidRDefault="00A51BF7" w:rsidP="00D50B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a multipolar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community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European Union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represents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set of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values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interests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The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EU’s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perspective on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near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more distant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neighbourhood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will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be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discussed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as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well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most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important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partnerships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including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transatlantic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strategy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enlargement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policy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85EAB1" w14:textId="77777777" w:rsidR="00A51BF7" w:rsidRPr="00A51BF7" w:rsidRDefault="00A51BF7" w:rsidP="00D50B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151BAAB" w14:textId="0FC332F0" w:rsidR="00D50BAD" w:rsidRPr="00A51BF7" w:rsidRDefault="00D50BAD" w:rsidP="00D50B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reading</w:t>
            </w:r>
            <w:proofErr w:type="spellEnd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FE8EE24" w14:textId="77777777" w:rsidR="00A51BF7" w:rsidRPr="008815C5" w:rsidRDefault="00A51BF7" w:rsidP="00A51BF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815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Nugent, N. The Government and Politics of the European Union, Bloomsbury Publishing, 2017, Ch. 22</w:t>
            </w:r>
          </w:p>
          <w:p w14:paraId="6604AD1F" w14:textId="77777777" w:rsidR="00A51BF7" w:rsidRPr="008815C5" w:rsidRDefault="00A51BF7" w:rsidP="00A51B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727A7E" w14:textId="77777777" w:rsidR="00A51BF7" w:rsidRPr="008815C5" w:rsidRDefault="00A51BF7" w:rsidP="00A51B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Biscop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S. et al (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). The EU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Strategy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Forging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a Global Europe,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Routledge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2008,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. 9, 15, 18, 30, 36, 37</w:t>
            </w:r>
          </w:p>
          <w:p w14:paraId="2ED213C2" w14:textId="77777777" w:rsidR="00A51BF7" w:rsidRPr="008815C5" w:rsidRDefault="00A51BF7" w:rsidP="00A51BF7">
            <w:pPr>
              <w:rPr>
                <w:rFonts w:ascii="Times New Roman" w:hAnsi="Times New Roman"/>
                <w:sz w:val="24"/>
                <w:szCs w:val="24"/>
              </w:rPr>
            </w:pPr>
            <w:r w:rsidRPr="008815C5">
              <w:rPr>
                <w:rFonts w:ascii="Times New Roman" w:hAnsi="Times New Roman"/>
                <w:sz w:val="24"/>
                <w:szCs w:val="24"/>
              </w:rPr>
              <w:t xml:space="preserve">Cameron, F. An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Foreign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Policy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Routledge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2007,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. 1, 6, 7, 13</w:t>
            </w:r>
          </w:p>
          <w:p w14:paraId="4C4CC71A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University Press,  2010, Ch.15</w:t>
            </w:r>
          </w:p>
          <w:p w14:paraId="387F112E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C2D84A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El-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Agraa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, A. M. (2011).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The European Union: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Economics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policies</w:t>
            </w:r>
            <w:proofErr w:type="spellEnd"/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(9th ed.). Cambridge University Press. Part VI, VII</w:t>
            </w:r>
          </w:p>
          <w:p w14:paraId="36F09322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C1EF80" w14:textId="464949C1" w:rsidR="00D80271" w:rsidRPr="00A51BF7" w:rsidRDefault="00A51BF7" w:rsidP="00A51BF7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A51BF7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Kaiser, W., &amp; </w:t>
            </w:r>
            <w:proofErr w:type="spellStart"/>
            <w:r w:rsidRPr="00A51BF7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Elvert</w:t>
            </w:r>
            <w:proofErr w:type="spellEnd"/>
            <w:r w:rsidRPr="00A51BF7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, J. (Eds.). </w:t>
            </w:r>
            <w:r w:rsidRPr="0088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(2004).</w:t>
            </w:r>
            <w:r w:rsidRPr="00881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 w:cs="Times New Roman"/>
                <w:color w:val="000000"/>
                <w:sz w:val="24"/>
                <w:szCs w:val="24"/>
              </w:rPr>
              <w:t>European Union enlargement: A comparative history</w:t>
            </w:r>
            <w:r w:rsidRPr="00881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490DC3BD" w14:textId="6B23E494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301AF304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31A028F5" w14:textId="77777777" w:rsidTr="00E1508A">
        <w:tc>
          <w:tcPr>
            <w:tcW w:w="7794" w:type="dxa"/>
            <w:shd w:val="clear" w:color="auto" w:fill="D9D9D9"/>
          </w:tcPr>
          <w:p w14:paraId="3C81568C" w14:textId="5F089BCB" w:rsidR="00D50BAD" w:rsidRDefault="00A51BF7" w:rsidP="00D50B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50BAD">
              <w:rPr>
                <w:rFonts w:ascii="Times New Roman" w:hAnsi="Times New Roman"/>
                <w:b/>
                <w:sz w:val="24"/>
                <w:szCs w:val="24"/>
              </w:rPr>
              <w:t xml:space="preserve">. The EU </w:t>
            </w:r>
            <w:proofErr w:type="spellStart"/>
            <w:r w:rsidR="00D50BAD">
              <w:rPr>
                <w:rFonts w:ascii="Times New Roman" w:hAnsi="Times New Roman"/>
                <w:b/>
                <w:sz w:val="24"/>
                <w:szCs w:val="24"/>
              </w:rPr>
              <w:t>constitutional</w:t>
            </w:r>
            <w:proofErr w:type="spellEnd"/>
            <w:r w:rsidR="00D50B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b/>
                <w:sz w:val="24"/>
                <w:szCs w:val="24"/>
              </w:rPr>
              <w:t>framework</w:t>
            </w:r>
            <w:proofErr w:type="spellEnd"/>
          </w:p>
          <w:p w14:paraId="48E211B9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16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treaties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make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underlying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legal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structure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EU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discussed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ideas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around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constitutional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B67316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B67316">
              <w:rPr>
                <w:rFonts w:ascii="Times New Roman" w:hAnsi="Times New Roman"/>
                <w:sz w:val="24"/>
                <w:szCs w:val="24"/>
              </w:rPr>
              <w:t xml:space="preserve"> European Union.</w:t>
            </w:r>
          </w:p>
          <w:p w14:paraId="23CED062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D01D6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Recommended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3DC5E77" w14:textId="77777777" w:rsidR="00D50BAD" w:rsidRPr="00B67316" w:rsidRDefault="00D50BAD" w:rsidP="00D50BAD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673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Nugent, N. The Government and Politics of the European Union, Bloomsbury Publishing, 2017, Ch. 3-8</w:t>
            </w:r>
          </w:p>
          <w:p w14:paraId="3820A80A" w14:textId="77777777" w:rsidR="00D50BAD" w:rsidRPr="00B67316" w:rsidRDefault="00D50BAD" w:rsidP="00D50BA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FC1DA2" w14:textId="57DB52EF" w:rsidR="00D80271" w:rsidRPr="00D50BAD" w:rsidRDefault="00D50BAD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D50BAD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D50BAD">
              <w:rPr>
                <w:rFonts w:ascii="Times New Roman" w:hAnsi="Times New Roman"/>
                <w:sz w:val="24"/>
                <w:szCs w:val="24"/>
              </w:rPr>
              <w:t>. 3-9</w:t>
            </w:r>
          </w:p>
        </w:tc>
        <w:tc>
          <w:tcPr>
            <w:tcW w:w="1294" w:type="dxa"/>
          </w:tcPr>
          <w:p w14:paraId="4F09C5B7" w14:textId="699F5F0C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44F2CC9B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42EA244C" w14:textId="77777777" w:rsidTr="00E1508A">
        <w:tc>
          <w:tcPr>
            <w:tcW w:w="7794" w:type="dxa"/>
            <w:shd w:val="clear" w:color="auto" w:fill="D9D9D9"/>
          </w:tcPr>
          <w:p w14:paraId="69488A11" w14:textId="77777777" w:rsidR="00A51BF7" w:rsidRPr="00A51BF7" w:rsidRDefault="00A51BF7" w:rsidP="00D50B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1BF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50BAD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European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Institutions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1: The European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Parliament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Questions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Related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Pr="00A51BF7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Democracy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The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nature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functions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Parliament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historical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perspective.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Democracy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representation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EU.</w:t>
            </w:r>
          </w:p>
          <w:p w14:paraId="6B0C602B" w14:textId="77777777" w:rsidR="00A51BF7" w:rsidRPr="00A51BF7" w:rsidRDefault="00A51BF7" w:rsidP="00D50B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350FFD" w14:textId="1EE5A58A" w:rsidR="00D50BAD" w:rsidRPr="00A51BF7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readings</w:t>
            </w:r>
            <w:proofErr w:type="spellEnd"/>
            <w:r w:rsidRPr="00A51BF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84856DC" w14:textId="77777777" w:rsidR="00A51BF7" w:rsidRPr="00A51BF7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>, 2017, Ch.12</w:t>
            </w:r>
          </w:p>
          <w:p w14:paraId="7A38FF59" w14:textId="77777777" w:rsidR="00A51BF7" w:rsidRPr="00A51BF7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4FFFE4" w14:textId="77A8F9D5" w:rsidR="00D80271" w:rsidRPr="00D50BAD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A51BF7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A51BF7">
              <w:rPr>
                <w:rFonts w:ascii="Times New Roman" w:hAnsi="Times New Roman"/>
                <w:sz w:val="24"/>
                <w:szCs w:val="24"/>
              </w:rPr>
              <w:t>. 2.5</w:t>
            </w:r>
          </w:p>
        </w:tc>
        <w:tc>
          <w:tcPr>
            <w:tcW w:w="1294" w:type="dxa"/>
          </w:tcPr>
          <w:p w14:paraId="6018B334" w14:textId="220E35B7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2E9FC8E1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00C8EFBC" w14:textId="77777777" w:rsidTr="00E1508A">
        <w:tc>
          <w:tcPr>
            <w:tcW w:w="7794" w:type="dxa"/>
            <w:shd w:val="clear" w:color="auto" w:fill="D9D9D9"/>
          </w:tcPr>
          <w:p w14:paraId="6FE0C590" w14:textId="77777777" w:rsidR="00A51BF7" w:rsidRDefault="00A51BF7" w:rsidP="00D50BAD">
            <w:pPr>
              <w:spacing w:line="240" w:lineRule="auto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8. 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European I</w:t>
            </w:r>
            <w:proofErr w:type="spellStart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nstitutions</w:t>
            </w:r>
            <w:proofErr w:type="spellEnd"/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2: The European Council</w:t>
            </w:r>
          </w:p>
          <w:p w14:paraId="0FF8E31B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readings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B3124BA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2017, 11</w:t>
            </w:r>
          </w:p>
          <w:p w14:paraId="775AA76B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7F592B" w14:textId="6BD5A862" w:rsidR="00D80271" w:rsidRPr="00A51BF7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. 2.3, 2.4</w:t>
            </w:r>
          </w:p>
        </w:tc>
        <w:tc>
          <w:tcPr>
            <w:tcW w:w="1294" w:type="dxa"/>
          </w:tcPr>
          <w:p w14:paraId="4F8C8D21" w14:textId="162F659B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5E0F01E7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0F0AB823" w14:textId="77777777" w:rsidTr="00E1508A">
        <w:tc>
          <w:tcPr>
            <w:tcW w:w="7794" w:type="dxa"/>
            <w:shd w:val="clear" w:color="auto" w:fill="D9D9D9"/>
          </w:tcPr>
          <w:p w14:paraId="2319A492" w14:textId="10E23159" w:rsidR="00D50BAD" w:rsidRDefault="00A51BF7" w:rsidP="00D50B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50BAD" w:rsidRPr="00A51B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European </w:t>
            </w:r>
            <w:proofErr w:type="spellStart"/>
            <w:r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Institutions</w:t>
            </w:r>
            <w:proofErr w:type="spellEnd"/>
            <w:r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3: The Council of </w:t>
            </w:r>
            <w:proofErr w:type="spellStart"/>
            <w:r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the</w:t>
            </w:r>
            <w:proofErr w:type="spellEnd"/>
            <w:r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European Union</w:t>
            </w:r>
          </w:p>
          <w:p w14:paraId="71BE830B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readings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437D68B" w14:textId="77777777" w:rsidR="00A51BF7" w:rsidRPr="008815C5" w:rsidRDefault="00A51BF7" w:rsidP="00A51B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2017, Ch.10</w:t>
            </w:r>
          </w:p>
          <w:p w14:paraId="37A1B998" w14:textId="04CBA9A5" w:rsidR="00D80271" w:rsidRPr="00A51BF7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5259BBD5" w14:textId="3359A0A9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5787C7D9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5D0F6656" w14:textId="77777777" w:rsidTr="00E1508A">
        <w:tc>
          <w:tcPr>
            <w:tcW w:w="7794" w:type="dxa"/>
            <w:shd w:val="clear" w:color="auto" w:fill="D9D9D9"/>
          </w:tcPr>
          <w:p w14:paraId="6C3281B5" w14:textId="679AB65D" w:rsidR="00D50BAD" w:rsidRDefault="00D50BAD" w:rsidP="00D50B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731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1BF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6731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51BF7"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European </w:t>
            </w:r>
            <w:proofErr w:type="spellStart"/>
            <w:r w:rsidR="00A51BF7"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Institutions</w:t>
            </w:r>
            <w:proofErr w:type="spellEnd"/>
            <w:r w:rsidR="00A51BF7"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A51BF7" w:rsidRP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The </w:t>
            </w:r>
            <w:r w:rsid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European </w:t>
            </w:r>
            <w:proofErr w:type="spellStart"/>
            <w:r w:rsidR="00A51B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Commission</w:t>
            </w:r>
            <w:proofErr w:type="spellEnd"/>
          </w:p>
          <w:p w14:paraId="66B971FA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readings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60D53179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2017, Ch.9</w:t>
            </w:r>
          </w:p>
          <w:p w14:paraId="6DD7D0F6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46C433" w14:textId="0B785DB0" w:rsidR="00D80271" w:rsidRP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. 2.2</w:t>
            </w:r>
          </w:p>
        </w:tc>
        <w:tc>
          <w:tcPr>
            <w:tcW w:w="1294" w:type="dxa"/>
          </w:tcPr>
          <w:p w14:paraId="1AE195D2" w14:textId="10753376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5B3D6318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11BDD895" w14:textId="77777777" w:rsidTr="00E1508A">
        <w:tc>
          <w:tcPr>
            <w:tcW w:w="7794" w:type="dxa"/>
            <w:shd w:val="clear" w:color="auto" w:fill="D9D9D9"/>
          </w:tcPr>
          <w:p w14:paraId="4179183A" w14:textId="7051B840" w:rsidR="00D50BAD" w:rsidRPr="00E1508A" w:rsidRDefault="00D50BAD" w:rsidP="00D50BA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0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51BF7" w:rsidRPr="00E150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508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Other</w:t>
            </w:r>
            <w:proofErr w:type="spellEnd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Institutions</w:t>
            </w:r>
            <w:proofErr w:type="spellEnd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European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Decision-Making</w:t>
            </w:r>
            <w:proofErr w:type="spellEnd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508A" w:rsidRPr="00E1508A">
              <w:rPr>
                <w:rFonts w:ascii="Times New Roman" w:hAnsi="Times New Roman"/>
                <w:color w:val="000000"/>
                <w:sz w:val="24"/>
                <w:szCs w:val="24"/>
              </w:rPr>
              <w:t>Process</w:t>
            </w:r>
            <w:proofErr w:type="spellEnd"/>
          </w:p>
          <w:p w14:paraId="584E18B7" w14:textId="77777777" w:rsidR="00D50BAD" w:rsidRPr="00B67316" w:rsidRDefault="00D50BAD" w:rsidP="00D50B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readings</w:t>
            </w:r>
            <w:proofErr w:type="spellEnd"/>
            <w:r w:rsidRPr="00B67316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7AA1BA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2017, Part IV</w:t>
            </w:r>
          </w:p>
          <w:p w14:paraId="23F3330E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A56B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University Press,  2010,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. 3, 9.</w:t>
            </w:r>
          </w:p>
          <w:p w14:paraId="32D5CA2F" w14:textId="77777777" w:rsidR="00D80271" w:rsidRPr="00E1508A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4EBA37DA" w14:textId="7B43F4F4" w:rsidR="00D80271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368" w:type="dxa"/>
          </w:tcPr>
          <w:p w14:paraId="58FD8AAC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6D7F89AA" w14:textId="77777777" w:rsidTr="00D50BAD">
        <w:tc>
          <w:tcPr>
            <w:tcW w:w="10456" w:type="dxa"/>
            <w:gridSpan w:val="3"/>
            <w:shd w:val="clear" w:color="auto" w:fill="D9D9D9"/>
          </w:tcPr>
          <w:p w14:paraId="2FFB984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Bibliography</w:t>
            </w:r>
          </w:p>
          <w:p w14:paraId="620D7498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015AA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lastRenderedPageBreak/>
              <w:t>Biscop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S. et al (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). The EU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Strategy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Forging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a Global Europe,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Routledge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2008</w:t>
            </w:r>
          </w:p>
          <w:p w14:paraId="70FF2B06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5C5">
              <w:rPr>
                <w:rFonts w:ascii="Times New Roman" w:hAnsi="Times New Roman"/>
                <w:sz w:val="24"/>
                <w:szCs w:val="24"/>
              </w:rPr>
              <w:t xml:space="preserve">Cameron, F. An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Foreign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Policy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Routledge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  <w:p w14:paraId="08227B84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Chalmers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D. at al., European Union Law,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edition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Cambdige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University Press,  2010</w:t>
            </w:r>
          </w:p>
          <w:p w14:paraId="393EC9C7" w14:textId="4092487A" w:rsidR="00D80271" w:rsidRPr="00E1508A" w:rsidRDefault="00E1508A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Nugent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, N. The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Government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Politics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European Union,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Bloomsbury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sz w:val="24"/>
                <w:szCs w:val="24"/>
              </w:rPr>
              <w:t>Publishing</w:t>
            </w:r>
            <w:proofErr w:type="spellEnd"/>
            <w:r w:rsidRPr="008815C5">
              <w:rPr>
                <w:rFonts w:ascii="Times New Roman" w:hAnsi="Times New Roman"/>
                <w:sz w:val="24"/>
                <w:szCs w:val="24"/>
              </w:rPr>
              <w:t>, 2017</w:t>
            </w:r>
          </w:p>
          <w:p w14:paraId="38CFB9F9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1E67C4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2ECE5A93" w14:textId="77777777" w:rsidTr="00E1508A">
        <w:tc>
          <w:tcPr>
            <w:tcW w:w="7794" w:type="dxa"/>
            <w:shd w:val="clear" w:color="auto" w:fill="D9D9D9"/>
          </w:tcPr>
          <w:p w14:paraId="50D13931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8.2 Seminar / laboratory</w:t>
            </w:r>
          </w:p>
        </w:tc>
        <w:tc>
          <w:tcPr>
            <w:tcW w:w="1294" w:type="dxa"/>
          </w:tcPr>
          <w:p w14:paraId="058BDF27" w14:textId="77777777" w:rsidR="00D80271" w:rsidRPr="00D50BAD" w:rsidRDefault="00D80271" w:rsidP="00444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Teaching methods</w:t>
            </w:r>
          </w:p>
        </w:tc>
        <w:tc>
          <w:tcPr>
            <w:tcW w:w="1368" w:type="dxa"/>
          </w:tcPr>
          <w:p w14:paraId="61FC802E" w14:textId="77777777" w:rsidR="00D80271" w:rsidRPr="00D50BAD" w:rsidRDefault="00D80271" w:rsidP="00444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Remarks</w:t>
            </w:r>
          </w:p>
        </w:tc>
      </w:tr>
      <w:tr w:rsidR="00D80271" w:rsidRPr="00D50BAD" w14:paraId="50FABED1" w14:textId="77777777" w:rsidTr="00E1508A">
        <w:tc>
          <w:tcPr>
            <w:tcW w:w="7794" w:type="dxa"/>
            <w:shd w:val="clear" w:color="auto" w:fill="D9D9D9"/>
          </w:tcPr>
          <w:p w14:paraId="3D758887" w14:textId="78BE867C" w:rsidR="00D80271" w:rsidRPr="00D50BAD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610375B0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368" w:type="dxa"/>
          </w:tcPr>
          <w:p w14:paraId="5CC6C830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80271" w:rsidRPr="00D50BAD" w14:paraId="4C43CBA3" w14:textId="77777777" w:rsidTr="00E1508A">
        <w:tc>
          <w:tcPr>
            <w:tcW w:w="7794" w:type="dxa"/>
            <w:shd w:val="clear" w:color="auto" w:fill="D9D9D9"/>
          </w:tcPr>
          <w:p w14:paraId="1521AC36" w14:textId="29912049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Topic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I.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Question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EU Economic model</w:t>
            </w:r>
          </w:p>
          <w:p w14:paraId="47D84E83" w14:textId="6FD41B25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1: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New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European Economic model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circular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economy</w:t>
            </w:r>
            <w:proofErr w:type="spellEnd"/>
          </w:p>
          <w:p w14:paraId="5048C896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4409E5" w14:textId="77777777" w:rsidR="00E1508A" w:rsidRPr="008815C5" w:rsidRDefault="00E1508A" w:rsidP="00E1508A">
            <w:pPr>
              <w:pStyle w:val="c-bibliographic-informationcitation"/>
              <w:spacing w:before="0" w:beforeAutospacing="0" w:after="240" w:afterAutospacing="0"/>
            </w:pPr>
            <w:r w:rsidRPr="008815C5">
              <w:rPr>
                <w:rStyle w:val="Strong"/>
                <w:color w:val="000000"/>
              </w:rPr>
              <w:t>Aydin, T., Galetto, C., Jona Falco, J., Minasian, A., Renner, L., &amp; Segrè, E. (31 martie 2025).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rStyle w:val="Emphasis"/>
                <w:color w:val="000000"/>
              </w:rPr>
              <w:t>The Geopolitics of the European Green Deal: From Fragile to Strategic Dependencies?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color w:val="000000"/>
              </w:rPr>
              <w:t>European Chair for Sustainable Development and Climate Transition, Sciences Po.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fldChar w:fldCharType="begin"/>
            </w:r>
            <w:r w:rsidRPr="008815C5">
              <w:instrText>HYPERLINK "https://www.sciencespo.fr/chair-sustainable-development/news/the-geopolitics-of-the-european-green-deal-from-fragile-to-strategic-dependencies/?utm_source=chatgpt.com" \t "_new"</w:instrText>
            </w:r>
            <w:r w:rsidRPr="008815C5">
              <w:fldChar w:fldCharType="separate"/>
            </w:r>
            <w:r w:rsidRPr="008815C5">
              <w:rPr>
                <w:rStyle w:val="Hyperlink"/>
              </w:rPr>
              <w:t>https://www.sciencespo.fr/chair-sustainable-development/news/the-geopolitics-of-the-european-green-deal-from-fragile-to-strategic-dependencies/</w:t>
            </w:r>
            <w:r w:rsidRPr="008815C5">
              <w:fldChar w:fldCharType="end"/>
            </w:r>
          </w:p>
          <w:p w14:paraId="3E77288D" w14:textId="343C6325" w:rsidR="00D80271" w:rsidRPr="00E1508A" w:rsidRDefault="00E1508A" w:rsidP="00E1508A">
            <w:pPr>
              <w:pStyle w:val="c-bibliographic-informationcitation"/>
              <w:spacing w:before="0" w:beforeAutospacing="0" w:after="240" w:afterAutospacing="0"/>
              <w:rPr>
                <w:color w:val="222222"/>
                <w:sz w:val="21"/>
                <w:szCs w:val="21"/>
                <w:lang w:val="en-US"/>
              </w:rPr>
            </w:pPr>
            <w:r w:rsidRPr="008815C5">
              <w:rPr>
                <w:rStyle w:val="Strong"/>
                <w:color w:val="000000"/>
              </w:rPr>
              <w:t>Pahle, M., Sultani, D., &amp; Zachmann, G. (24 februarie 2026).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rStyle w:val="Emphasis"/>
                <w:color w:val="000000"/>
              </w:rPr>
              <w:t>Defragmenting European Union climate policy</w:t>
            </w:r>
            <w:r w:rsidRPr="008815C5">
              <w:rPr>
                <w:color w:val="000000"/>
              </w:rPr>
              <w:t>. Bruegel.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fldChar w:fldCharType="begin"/>
            </w:r>
            <w:r w:rsidRPr="008815C5">
              <w:instrText>HYPERLINK "https://www.bruegel.org/policy-brief/defragmenting-european-union-climate-policy?utm_source=chatgpt.com" \t "_new"</w:instrText>
            </w:r>
            <w:r w:rsidRPr="008815C5">
              <w:fldChar w:fldCharType="separate"/>
            </w:r>
            <w:r w:rsidRPr="008815C5">
              <w:rPr>
                <w:rStyle w:val="Hyperlink"/>
              </w:rPr>
              <w:t>https://www.bruegel.org/policy-brief/defragmenting-european-union-climate-policy</w:t>
            </w:r>
            <w:r w:rsidRPr="008815C5">
              <w:fldChar w:fldCharType="end"/>
            </w:r>
          </w:p>
        </w:tc>
        <w:tc>
          <w:tcPr>
            <w:tcW w:w="1294" w:type="dxa"/>
          </w:tcPr>
          <w:p w14:paraId="7C5B6DC7" w14:textId="77777777" w:rsidR="00D80271" w:rsidRPr="00E1508A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RO"/>
              </w:rPr>
            </w:pPr>
          </w:p>
        </w:tc>
        <w:tc>
          <w:tcPr>
            <w:tcW w:w="1368" w:type="dxa"/>
          </w:tcPr>
          <w:p w14:paraId="5A8F7336" w14:textId="77777777" w:rsidR="00D80271" w:rsidRPr="00E1508A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RO"/>
              </w:rPr>
            </w:pPr>
          </w:p>
        </w:tc>
      </w:tr>
      <w:tr w:rsidR="00D80271" w:rsidRPr="00D50BAD" w14:paraId="04CC57AF" w14:textId="77777777" w:rsidTr="00E1508A">
        <w:tc>
          <w:tcPr>
            <w:tcW w:w="7794" w:type="dxa"/>
            <w:shd w:val="clear" w:color="auto" w:fill="D9D9D9"/>
          </w:tcPr>
          <w:p w14:paraId="1FA05B9A" w14:textId="60BCD869" w:rsidR="00E1508A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Digital EU</w:t>
            </w:r>
          </w:p>
          <w:p w14:paraId="65E6EC39" w14:textId="77777777" w:rsidR="00E1508A" w:rsidRPr="000C3F53" w:rsidRDefault="00E1508A" w:rsidP="00E1508A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14:paraId="6701394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Burwell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, F., &amp; </w:t>
            </w: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Propp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, K. (14 ianuarie 2026).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Digital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sovereignty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Europe’s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declaration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independence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Atlantic Council.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8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https://www.atlanticcouncil.org/in-depth-research-reports/report/digital-sovereignty-europes-declaration-of-independence/</w:t>
              </w:r>
            </w:hyperlink>
          </w:p>
          <w:p w14:paraId="5FE81111" w14:textId="1B3A1E12" w:rsidR="00D80271" w:rsidRPr="00E1508A" w:rsidRDefault="00D80271" w:rsidP="00D50BA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  <w:highlight w:val="lightGray"/>
                <w:shd w:val="clear" w:color="auto" w:fill="FFFFFF"/>
                <w:lang w:val="en-US"/>
              </w:rPr>
            </w:pPr>
          </w:p>
        </w:tc>
        <w:tc>
          <w:tcPr>
            <w:tcW w:w="1294" w:type="dxa"/>
          </w:tcPr>
          <w:p w14:paraId="64E3A5BF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C5A71CC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30D74A40" w14:textId="77777777" w:rsidTr="00E1508A">
        <w:tc>
          <w:tcPr>
            <w:tcW w:w="7794" w:type="dxa"/>
            <w:shd w:val="clear" w:color="auto" w:fill="D9D9D9"/>
          </w:tcPr>
          <w:p w14:paraId="7C8A5BCF" w14:textId="25CF79BA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opic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II. European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Leadership </w:t>
            </w:r>
          </w:p>
          <w:p w14:paraId="62F11C91" w14:textId="46093032" w:rsidR="00E1508A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3: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commercial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spheres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influence</w:t>
            </w:r>
            <w:proofErr w:type="spellEnd"/>
          </w:p>
          <w:p w14:paraId="56E1D6FE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4C8D5F" w14:textId="3101B2D4" w:rsidR="00D80271" w:rsidRP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Korteweg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, R., &amp; van </w:t>
            </w: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Wijk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, D. (octombrie 2025).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Raising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Standard: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unlock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geopolitical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potential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Europe’s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internal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market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Clingendael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Report).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Netherlands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Institute of International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Relations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Clingendael.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9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https://www.clingendael.org/sites/default/files/2025-10/Report_Raising_the_Standard.pdf</w:t>
              </w:r>
            </w:hyperlink>
          </w:p>
        </w:tc>
        <w:tc>
          <w:tcPr>
            <w:tcW w:w="1294" w:type="dxa"/>
          </w:tcPr>
          <w:p w14:paraId="49D8433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8975652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310C4F04" w14:textId="77777777" w:rsidTr="00E1508A">
        <w:tc>
          <w:tcPr>
            <w:tcW w:w="7794" w:type="dxa"/>
            <w:shd w:val="clear" w:color="auto" w:fill="D9D9D9"/>
          </w:tcPr>
          <w:p w14:paraId="790AA54D" w14:textId="12182E14" w:rsidR="00E1508A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Seminar 4: UE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military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power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?</w:t>
            </w:r>
          </w:p>
          <w:p w14:paraId="28746F7D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68877A" w14:textId="77777777" w:rsid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Nizhnikau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, R., </w:t>
            </w: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Karjalainen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 xml:space="preserve">, T., &amp; </w:t>
            </w: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Jokela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, J. P. (1 septembrie 2025).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InvigoratEU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Policy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Paper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Demands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for European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security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defence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cooperation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Ukraine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after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Russia’s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invasion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(D8.3)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Finnish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Institute of International Affairs.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0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https://fiia.fi/en/publication/demands-for-european-security-and-defence-cooperation-in-ukraine-after-russias-invasion</w:t>
              </w:r>
            </w:hyperlink>
          </w:p>
          <w:p w14:paraId="455D326E" w14:textId="77777777" w:rsidR="00E1508A" w:rsidRDefault="00E1508A" w:rsidP="00E1508A">
            <w:pPr>
              <w:spacing w:after="0" w:line="240" w:lineRule="auto"/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485782" w14:textId="4522066C" w:rsidR="00D80271" w:rsidRP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Wallander</w:t>
            </w:r>
            <w:proofErr w:type="spellEnd"/>
            <w:r w:rsidRPr="008815C5">
              <w:rPr>
                <w:rStyle w:val="Strong"/>
                <w:rFonts w:ascii="Times New Roman" w:hAnsi="Times New Roman"/>
                <w:color w:val="000000"/>
                <w:sz w:val="24"/>
                <w:szCs w:val="24"/>
              </w:rPr>
              <w:t>, C. A. (24 iunie 2025).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Beware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Europe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Wish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For: The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Downsides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Dangers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Allied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Independence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Foreign 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Affairs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1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https://www.foreignaffairs.com/europe/beware-europe-you-wish-wallander</w:t>
              </w:r>
            </w:hyperlink>
          </w:p>
        </w:tc>
        <w:tc>
          <w:tcPr>
            <w:tcW w:w="1294" w:type="dxa"/>
          </w:tcPr>
          <w:p w14:paraId="4852036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D592C7C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1E9FF1C2" w14:textId="77777777" w:rsidTr="00E1508A">
        <w:tc>
          <w:tcPr>
            <w:tcW w:w="7794" w:type="dxa"/>
            <w:shd w:val="clear" w:color="auto" w:fill="D9D9D9"/>
          </w:tcPr>
          <w:p w14:paraId="2E3BC0D0" w14:textId="796DAC3D" w:rsidR="00E1508A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Seminar 5: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lobal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uropean Leadership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multi-cri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sis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environment</w:t>
            </w:r>
            <w:proofErr w:type="spellEnd"/>
          </w:p>
          <w:p w14:paraId="4560A51C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7AAE9D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Mustasilta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K.,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Karjalainen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T., &amp;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Tammikko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, T. (2025).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The European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Union’s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crisis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management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efforts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Evolution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amid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shifting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international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order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war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Ukraine</w:t>
            </w:r>
            <w:proofErr w:type="spellEnd"/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(FIIA Briefing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Paper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No. 427).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Finnish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Institute of International Affairs.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2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https://fiia.fi/en/publication/the-european-unions-crisis-management-efforts</w:t>
              </w:r>
            </w:hyperlink>
          </w:p>
          <w:p w14:paraId="4040083F" w14:textId="5A5FF4B6" w:rsidR="00D80271" w:rsidRPr="00E1508A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738930C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1211E9A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0348A858" w14:textId="77777777" w:rsidTr="00E1508A">
        <w:tc>
          <w:tcPr>
            <w:tcW w:w="7794" w:type="dxa"/>
            <w:shd w:val="clear" w:color="auto" w:fill="D9D9D9"/>
          </w:tcPr>
          <w:p w14:paraId="653C4501" w14:textId="58C3D9BD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widening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transforming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30326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0A304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Emerson, M., &amp;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Blockmans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S. (2025,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September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radically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simplify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streamline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EU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enlargement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process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Centre for European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Policy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Studies.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3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https://www.ceps.eu/ceps-publications/how-to-radically-simplify-and-streamline-the-eu-enlargement-process/</w:t>
              </w:r>
            </w:hyperlink>
          </w:p>
          <w:p w14:paraId="19EAB045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8FB71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Shopov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V. (2025,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December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next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“big bang”: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How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EU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can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fast-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track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enlargement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amid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geopolitical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tensions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 European Council on Foreign Relations.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4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https://ecfr.eu/article/the-next-big-bang-how-the-eu-can-fast-track-enlargement-amid-geopolitical-tensions/</w:t>
              </w:r>
            </w:hyperlink>
          </w:p>
          <w:p w14:paraId="4B52F69E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CBD9B3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Morina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E. (2025,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December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Accelerate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accessions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Why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faster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is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better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in EU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enlargement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policy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 European Council on Foreign Relations.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5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https://ecfr.eu/publication/accelerate-the-accessions-why-faster-is-better-in-eu-enlargement-policy/</w:t>
              </w:r>
            </w:hyperlink>
          </w:p>
          <w:p w14:paraId="790A6408" w14:textId="0F3E547F" w:rsidR="00D80271" w:rsidRPr="00E1508A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1EAC8ED4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CF021AC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739747FF" w14:textId="77777777" w:rsidTr="00E1508A">
        <w:tc>
          <w:tcPr>
            <w:tcW w:w="7794" w:type="dxa"/>
            <w:shd w:val="clear" w:color="auto" w:fill="D9D9D9"/>
          </w:tcPr>
          <w:p w14:paraId="158957CF" w14:textId="0AC0D205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7: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Migration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</w:t>
            </w:r>
          </w:p>
          <w:p w14:paraId="50FA55EC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6ED7D1" w14:textId="2EBF21A4" w:rsidR="00D80271" w:rsidRP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Pascouau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, Y. (2021, August 24).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L’Europe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l’asile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D’un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espace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protection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à un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espace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protégé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 Institut Jacques Delors.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Fonts w:ascii="Times New Roman" w:hAnsi="Times New Roman"/>
                <w:sz w:val="24"/>
                <w:szCs w:val="24"/>
              </w:rPr>
              <w:t>https://institutdelors.eu/en/publication/leurope-et-lasile-dun-espace-de-protection-a-un-espace-protege-2/</w:t>
            </w:r>
          </w:p>
        </w:tc>
        <w:tc>
          <w:tcPr>
            <w:tcW w:w="1294" w:type="dxa"/>
          </w:tcPr>
          <w:p w14:paraId="585A27F8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5BC4B09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5248EE55" w14:textId="77777777" w:rsidTr="00E1508A">
        <w:tc>
          <w:tcPr>
            <w:tcW w:w="7794" w:type="dxa"/>
            <w:shd w:val="clear" w:color="auto" w:fill="D9D9D9"/>
          </w:tcPr>
          <w:p w14:paraId="0BA501B3" w14:textId="4DDD24CC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8: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Inequalities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</w:t>
            </w:r>
          </w:p>
          <w:p w14:paraId="543ED471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68E309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Zucman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G. (2026,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January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Decline,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what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decline? The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myth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dying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Europe</w:t>
            </w: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Anglia Bylines.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6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https://eastangliabylines.co.uk/business/economics/decline-what-decline-the-myth-of-dying-europe/</w:t>
              </w:r>
            </w:hyperlink>
          </w:p>
          <w:p w14:paraId="0DB1F687" w14:textId="016E9DB6" w:rsidR="00D80271" w:rsidRPr="00E1508A" w:rsidRDefault="00D80271" w:rsidP="00D50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14:paraId="7F4B5A4D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8D44432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099E5C65" w14:textId="77777777" w:rsidTr="00E1508A">
        <w:tc>
          <w:tcPr>
            <w:tcW w:w="7794" w:type="dxa"/>
            <w:shd w:val="clear" w:color="auto" w:fill="D9D9D9"/>
          </w:tcPr>
          <w:p w14:paraId="4EF59E47" w14:textId="4F45111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democracy</w:t>
            </w:r>
            <w:proofErr w:type="spellEnd"/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shield</w:t>
            </w:r>
            <w:proofErr w:type="spellEnd"/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 for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UE?</w:t>
            </w:r>
          </w:p>
          <w:p w14:paraId="3FC5DEE9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50577AC" w14:textId="77777777" w:rsidR="00E1508A" w:rsidRPr="008815C5" w:rsidRDefault="00E1508A" w:rsidP="00E1508A">
            <w:pPr>
              <w:pStyle w:val="NormalWeb"/>
              <w:rPr>
                <w:color w:val="000000"/>
              </w:rPr>
            </w:pPr>
            <w:r w:rsidRPr="008815C5">
              <w:rPr>
                <w:color w:val="000000"/>
              </w:rPr>
              <w:t>Dolan, C. (2025, November 12).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rStyle w:val="Emphasis"/>
              </w:rPr>
              <w:t>Democracy shield: Defense or distraction?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color w:val="000000"/>
              </w:rPr>
              <w:t>European Policy Centre.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color w:val="000000"/>
              </w:rPr>
              <w:fldChar w:fldCharType="begin"/>
            </w:r>
            <w:r w:rsidRPr="008815C5">
              <w:rPr>
                <w:color w:val="000000"/>
              </w:rPr>
              <w:instrText>HYPERLINK "https://www.epc.eu/publication/democracy-shield-defense-or-distraction/" \t "_new"</w:instrText>
            </w:r>
            <w:r w:rsidRPr="008815C5">
              <w:rPr>
                <w:color w:val="000000"/>
              </w:rPr>
            </w:r>
            <w:r w:rsidRPr="008815C5">
              <w:rPr>
                <w:color w:val="000000"/>
              </w:rPr>
              <w:fldChar w:fldCharType="separate"/>
            </w:r>
            <w:r w:rsidRPr="008815C5">
              <w:rPr>
                <w:rStyle w:val="Hyperlink"/>
              </w:rPr>
              <w:t>https://www.epc.eu/publication/democracy-shield-defense-or-distraction/</w:t>
            </w:r>
            <w:r w:rsidRPr="008815C5">
              <w:rPr>
                <w:color w:val="000000"/>
              </w:rPr>
              <w:fldChar w:fldCharType="end"/>
            </w:r>
          </w:p>
          <w:p w14:paraId="52EC073F" w14:textId="5DCCD1F5" w:rsidR="00D80271" w:rsidRPr="00E1508A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Bentzen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N. (2026,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January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The European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Democracy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Shield</w:t>
            </w:r>
            <w:proofErr w:type="spellEnd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 xml:space="preserve">: An </w:t>
            </w:r>
            <w:proofErr w:type="spellStart"/>
            <w:r w:rsidRPr="008815C5">
              <w:rPr>
                <w:rStyle w:val="Emphasis"/>
                <w:rFonts w:ascii="Times New Roman" w:hAnsi="Times New Roman"/>
                <w:color w:val="000000"/>
                <w:sz w:val="24"/>
                <w:szCs w:val="24"/>
              </w:rPr>
              <w:t>overview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European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Parliamentary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Research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Service (EPRS), European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Parliament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Think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Tank.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7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https://epthinktank.eu/2026/01/15/the-european-democracy-shield-an-overview/</w:t>
              </w:r>
            </w:hyperlink>
          </w:p>
        </w:tc>
        <w:tc>
          <w:tcPr>
            <w:tcW w:w="1294" w:type="dxa"/>
          </w:tcPr>
          <w:p w14:paraId="43DEE9F5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9C22F53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6BC1B11C" w14:textId="77777777" w:rsidTr="00E1508A">
        <w:tc>
          <w:tcPr>
            <w:tcW w:w="7794" w:type="dxa"/>
            <w:shd w:val="clear" w:color="auto" w:fill="D9D9D9"/>
          </w:tcPr>
          <w:p w14:paraId="5AA86B3E" w14:textId="73FF77CA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10: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A more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trusted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</w:t>
            </w:r>
          </w:p>
          <w:p w14:paraId="0A26FFB2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B4B4EFC" w14:textId="4299E30F" w:rsidR="00D80271" w:rsidRPr="00E1508A" w:rsidRDefault="00E1508A" w:rsidP="00E1508A">
            <w:pPr>
              <w:pStyle w:val="NormalWeb"/>
              <w:rPr>
                <w:color w:val="000000"/>
              </w:rPr>
            </w:pPr>
            <w:r w:rsidRPr="008815C5">
              <w:rPr>
                <w:color w:val="000000"/>
              </w:rPr>
              <w:t>Kizilova, K. (2024, March 11).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rStyle w:val="Emphasis"/>
              </w:rPr>
              <w:t>Trust in the European Union and turnout in European Parliament elections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color w:val="000000"/>
              </w:rPr>
              <w:t>(TRUEDEM project presentation). TRUEDEM: Trust in European Democracies Project.</w:t>
            </w:r>
            <w:r w:rsidRPr="008815C5">
              <w:rPr>
                <w:rStyle w:val="apple-converted-space"/>
                <w:color w:val="000000"/>
              </w:rPr>
              <w:t> </w:t>
            </w:r>
            <w:r w:rsidRPr="008815C5">
              <w:rPr>
                <w:color w:val="000000"/>
              </w:rPr>
              <w:fldChar w:fldCharType="begin"/>
            </w:r>
            <w:r w:rsidRPr="008815C5">
              <w:rPr>
                <w:color w:val="000000"/>
              </w:rPr>
              <w:instrText>HYPERLINK "https://www.truedemdata.eu/truedem/TRUEDEM_Kizilova_11_03_2024.pdf" \t "_new"</w:instrText>
            </w:r>
            <w:r w:rsidRPr="008815C5">
              <w:rPr>
                <w:color w:val="000000"/>
              </w:rPr>
            </w:r>
            <w:r w:rsidRPr="008815C5">
              <w:rPr>
                <w:color w:val="000000"/>
              </w:rPr>
              <w:fldChar w:fldCharType="separate"/>
            </w:r>
            <w:r w:rsidRPr="008815C5">
              <w:rPr>
                <w:rStyle w:val="Hyperlink"/>
              </w:rPr>
              <w:t>https://www.truedemdata.eu/truedem/TRUEDEM_Kizilova_11_03_2024.pdf</w:t>
            </w:r>
            <w:r w:rsidRPr="008815C5">
              <w:rPr>
                <w:color w:val="000000"/>
              </w:rPr>
              <w:fldChar w:fldCharType="end"/>
            </w:r>
          </w:p>
        </w:tc>
        <w:tc>
          <w:tcPr>
            <w:tcW w:w="1294" w:type="dxa"/>
          </w:tcPr>
          <w:p w14:paraId="3321C72E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1E2FAF1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0271" w:rsidRPr="00D50BAD" w14:paraId="490D4111" w14:textId="77777777" w:rsidTr="00E1508A">
        <w:tc>
          <w:tcPr>
            <w:tcW w:w="7794" w:type="dxa"/>
            <w:shd w:val="clear" w:color="auto" w:fill="D9D9D9"/>
          </w:tcPr>
          <w:p w14:paraId="710AA02F" w14:textId="306E7CCC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11: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>Reform</w:t>
            </w:r>
            <w:r w:rsidR="006A2BAF">
              <w:rPr>
                <w:rFonts w:ascii="Times New Roman" w:hAnsi="Times New Roman"/>
                <w:b/>
                <w:sz w:val="24"/>
                <w:szCs w:val="24"/>
              </w:rPr>
              <w:t>ing</w:t>
            </w:r>
            <w:proofErr w:type="spellEnd"/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the</w:t>
            </w:r>
            <w:proofErr w:type="spellEnd"/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>UE</w:t>
            </w:r>
          </w:p>
          <w:p w14:paraId="3FB0116D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0B47CE8" w14:textId="60996115" w:rsidR="00D80271" w:rsidRPr="00D50BAD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Grant, C., &amp;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Letta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E. (2025, </w:t>
            </w:r>
            <w:proofErr w:type="spellStart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March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11).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European </w:t>
            </w:r>
            <w:proofErr w:type="spellStart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>first</w:t>
            </w:r>
            <w:proofErr w:type="spellEnd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15C5">
              <w:rPr>
                <w:rStyle w:val="Emphasis"/>
                <w:rFonts w:ascii="Times New Roman" w:hAnsi="Times New Roman"/>
                <w:sz w:val="24"/>
                <w:szCs w:val="24"/>
              </w:rPr>
              <w:t>implications</w:t>
            </w:r>
            <w:proofErr w:type="spellEnd"/>
            <w:r w:rsidRPr="008815C5">
              <w:rPr>
                <w:rFonts w:ascii="Times New Roman" w:hAnsi="Times New Roman"/>
                <w:color w:val="000000"/>
                <w:sz w:val="24"/>
                <w:szCs w:val="24"/>
              </w:rPr>
              <w:t>. Bruegel.</w:t>
            </w:r>
            <w:r w:rsidRPr="008815C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8" w:tgtFrame="_new" w:history="1">
              <w:r w:rsidRPr="008815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https://www.bruegel.org/analysis/thinking-european-first-and-its-implications</w:t>
              </w:r>
            </w:hyperlink>
          </w:p>
        </w:tc>
        <w:tc>
          <w:tcPr>
            <w:tcW w:w="1294" w:type="dxa"/>
          </w:tcPr>
          <w:p w14:paraId="27287BF7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7288899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08A" w:rsidRPr="00D50BAD" w14:paraId="4B0C83FE" w14:textId="77777777" w:rsidTr="00E1508A">
        <w:tc>
          <w:tcPr>
            <w:tcW w:w="7794" w:type="dxa"/>
            <w:shd w:val="clear" w:color="auto" w:fill="D9D9D9"/>
          </w:tcPr>
          <w:p w14:paraId="085E92F7" w14:textId="427B0633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Seminar 12:</w:t>
            </w:r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Budgeting</w:t>
            </w:r>
            <w:proofErr w:type="spellEnd"/>
            <w:r w:rsidR="006A2BAF">
              <w:rPr>
                <w:rFonts w:ascii="Times New Roman" w:hAnsi="Times New Roman"/>
                <w:b/>
                <w:sz w:val="24"/>
                <w:szCs w:val="24"/>
              </w:rPr>
              <w:t xml:space="preserve"> for a </w:t>
            </w:r>
            <w:proofErr w:type="spellStart"/>
            <w:r w:rsidR="006A2BAF">
              <w:rPr>
                <w:rFonts w:ascii="Times New Roman" w:hAnsi="Times New Roman"/>
                <w:b/>
                <w:sz w:val="24"/>
                <w:szCs w:val="24"/>
              </w:rPr>
              <w:t>reformed</w:t>
            </w:r>
            <w:proofErr w:type="spellEnd"/>
            <w:r w:rsidRPr="008815C5">
              <w:rPr>
                <w:rFonts w:ascii="Times New Roman" w:hAnsi="Times New Roman"/>
                <w:b/>
                <w:sz w:val="24"/>
                <w:szCs w:val="24"/>
              </w:rPr>
              <w:t xml:space="preserve"> UE</w:t>
            </w:r>
          </w:p>
          <w:p w14:paraId="2F38CB06" w14:textId="77777777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C3D6C2D" w14:textId="30D16EFC" w:rsidR="00E1508A" w:rsidRPr="008815C5" w:rsidRDefault="00E1508A" w:rsidP="00E15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81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https://www.youtube.com/watch?v=9gEvFEUYb0s&amp;themeRefresh=1</w:t>
            </w:r>
          </w:p>
        </w:tc>
        <w:tc>
          <w:tcPr>
            <w:tcW w:w="1294" w:type="dxa"/>
          </w:tcPr>
          <w:p w14:paraId="1B6BC581" w14:textId="77777777" w:rsidR="00E1508A" w:rsidRPr="00D50BAD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084A076" w14:textId="77777777" w:rsidR="00E1508A" w:rsidRPr="00D50BAD" w:rsidRDefault="00E1508A" w:rsidP="00E15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C43847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p w14:paraId="66AFBAF5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9. Corroborating the content of the discipline with the expectations of the epistemic community, professional associations and representative employers within the field of the program</w:t>
      </w:r>
    </w:p>
    <w:p w14:paraId="7EA4278F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80271" w:rsidRPr="00D50BAD" w14:paraId="746A60A4" w14:textId="77777777" w:rsidTr="00450A21">
        <w:tc>
          <w:tcPr>
            <w:tcW w:w="10682" w:type="dxa"/>
          </w:tcPr>
          <w:p w14:paraId="2537F30D" w14:textId="13D85710" w:rsidR="00D80271" w:rsidRPr="00D50BAD" w:rsidRDefault="00D80271" w:rsidP="00450A2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50BAD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will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provide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basic conceptual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analytical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tools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required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systematic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understanding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history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nature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functions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D50BA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="00D50BAD">
              <w:rPr>
                <w:rFonts w:ascii="Times New Roman" w:hAnsi="Times New Roman"/>
                <w:sz w:val="24"/>
                <w:szCs w:val="24"/>
              </w:rPr>
              <w:t xml:space="preserve"> European Union.</w:t>
            </w:r>
          </w:p>
          <w:p w14:paraId="6E74082C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300A59B5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p w14:paraId="18203E69" w14:textId="77777777" w:rsidR="00D80271" w:rsidRPr="00D50BAD" w:rsidRDefault="00D80271" w:rsidP="00A501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50BAD">
        <w:rPr>
          <w:rFonts w:ascii="Times New Roman" w:hAnsi="Times New Roman"/>
          <w:b/>
          <w:sz w:val="24"/>
          <w:szCs w:val="24"/>
          <w:lang w:val="en-GB"/>
        </w:rPr>
        <w:t>10. Evaluation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770"/>
        <w:gridCol w:w="2902"/>
        <w:gridCol w:w="2162"/>
      </w:tblGrid>
      <w:tr w:rsidR="00D80271" w:rsidRPr="00D50BAD" w14:paraId="5A03E3EE" w14:textId="77777777" w:rsidTr="00D50BAD">
        <w:tc>
          <w:tcPr>
            <w:tcW w:w="2622" w:type="dxa"/>
          </w:tcPr>
          <w:p w14:paraId="28070AD4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Type of activity</w:t>
            </w:r>
          </w:p>
        </w:tc>
        <w:tc>
          <w:tcPr>
            <w:tcW w:w="2770" w:type="dxa"/>
            <w:shd w:val="clear" w:color="auto" w:fill="D9D9D9"/>
          </w:tcPr>
          <w:p w14:paraId="313721D6" w14:textId="77777777" w:rsidR="00D80271" w:rsidRPr="00D50BAD" w:rsidRDefault="00D80271" w:rsidP="00450A21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10.1 Evaluation criteria</w:t>
            </w:r>
          </w:p>
        </w:tc>
        <w:tc>
          <w:tcPr>
            <w:tcW w:w="2902" w:type="dxa"/>
          </w:tcPr>
          <w:p w14:paraId="2B19D8C6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10.2 Evaluation methods</w:t>
            </w:r>
          </w:p>
        </w:tc>
        <w:tc>
          <w:tcPr>
            <w:tcW w:w="2162" w:type="dxa"/>
          </w:tcPr>
          <w:p w14:paraId="199DE917" w14:textId="77777777" w:rsidR="00D80271" w:rsidRPr="00D50BAD" w:rsidRDefault="00D80271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10.3 Share in the grade (%)</w:t>
            </w:r>
          </w:p>
        </w:tc>
      </w:tr>
      <w:tr w:rsidR="00D50BAD" w:rsidRPr="00D50BAD" w14:paraId="2B6AB5DB" w14:textId="77777777" w:rsidTr="00810974">
        <w:trPr>
          <w:trHeight w:val="562"/>
        </w:trPr>
        <w:tc>
          <w:tcPr>
            <w:tcW w:w="2622" w:type="dxa"/>
          </w:tcPr>
          <w:p w14:paraId="624C13BA" w14:textId="77777777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10.4 Course</w:t>
            </w:r>
          </w:p>
        </w:tc>
        <w:tc>
          <w:tcPr>
            <w:tcW w:w="2770" w:type="dxa"/>
            <w:shd w:val="clear" w:color="auto" w:fill="D9D9D9"/>
          </w:tcPr>
          <w:p w14:paraId="1B9DA07D" w14:textId="5ECFD479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Exam</w:t>
            </w:r>
          </w:p>
        </w:tc>
        <w:tc>
          <w:tcPr>
            <w:tcW w:w="2902" w:type="dxa"/>
          </w:tcPr>
          <w:p w14:paraId="09228DB1" w14:textId="73357071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Oral examination based on two randomly assigned question</w:t>
            </w:r>
          </w:p>
        </w:tc>
        <w:tc>
          <w:tcPr>
            <w:tcW w:w="2162" w:type="dxa"/>
          </w:tcPr>
          <w:p w14:paraId="0DA26E36" w14:textId="0CC08E1F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60%</w:t>
            </w:r>
          </w:p>
        </w:tc>
      </w:tr>
      <w:tr w:rsidR="00D50BAD" w:rsidRPr="00D50BAD" w14:paraId="0D8CCB8F" w14:textId="77777777" w:rsidTr="005E5485">
        <w:trPr>
          <w:trHeight w:val="562"/>
        </w:trPr>
        <w:tc>
          <w:tcPr>
            <w:tcW w:w="2622" w:type="dxa"/>
          </w:tcPr>
          <w:p w14:paraId="7975AC4A" w14:textId="77777777" w:rsidR="00D50BAD" w:rsidRPr="00D50BAD" w:rsidRDefault="00D50BAD" w:rsidP="00450A2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10.5 Seminar/lab activities</w:t>
            </w:r>
          </w:p>
        </w:tc>
        <w:tc>
          <w:tcPr>
            <w:tcW w:w="2770" w:type="dxa"/>
            <w:shd w:val="clear" w:color="auto" w:fill="D9D9D9"/>
          </w:tcPr>
          <w:p w14:paraId="325F83CD" w14:textId="5DCD5A08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Active, knowledgeable participation</w:t>
            </w:r>
          </w:p>
        </w:tc>
        <w:tc>
          <w:tcPr>
            <w:tcW w:w="2902" w:type="dxa"/>
          </w:tcPr>
          <w:p w14:paraId="63077BEC" w14:textId="44B3EAB4" w:rsidR="006A2BAF" w:rsidRDefault="006A2BAF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Weekly test </w:t>
            </w:r>
            <w:r w:rsidR="000C41CC">
              <w:rPr>
                <w:rFonts w:ascii="Times New Roman" w:hAnsi="Times New Roman"/>
                <w:sz w:val="24"/>
                <w:szCs w:val="24"/>
                <w:lang w:val="en-GB"/>
              </w:rPr>
              <w:t>based on texts</w:t>
            </w:r>
          </w:p>
          <w:p w14:paraId="2BA7CC12" w14:textId="77777777" w:rsidR="006A2BAF" w:rsidRDefault="006A2BAF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5501F20" w14:textId="7A4C7A94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Active participation based on readings </w:t>
            </w:r>
          </w:p>
        </w:tc>
        <w:tc>
          <w:tcPr>
            <w:tcW w:w="2162" w:type="dxa"/>
          </w:tcPr>
          <w:p w14:paraId="3DC6C553" w14:textId="6590B0EB" w:rsidR="00D50BAD" w:rsidRPr="00D50BAD" w:rsidRDefault="00D50BAD" w:rsidP="00450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40%</w:t>
            </w:r>
          </w:p>
        </w:tc>
      </w:tr>
      <w:tr w:rsidR="00D80271" w:rsidRPr="00D50BAD" w14:paraId="3B163774" w14:textId="77777777" w:rsidTr="00D50BAD">
        <w:tc>
          <w:tcPr>
            <w:tcW w:w="10456" w:type="dxa"/>
            <w:gridSpan w:val="4"/>
          </w:tcPr>
          <w:p w14:paraId="17127B70" w14:textId="77777777" w:rsidR="00D80271" w:rsidRPr="00D50BAD" w:rsidRDefault="00D80271" w:rsidP="00BB0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50BAD">
              <w:rPr>
                <w:rFonts w:ascii="Times New Roman" w:hAnsi="Times New Roman"/>
                <w:sz w:val="24"/>
                <w:szCs w:val="24"/>
                <w:lang w:val="en-GB"/>
              </w:rPr>
              <w:t>10.6 Minimum performance standards</w:t>
            </w:r>
          </w:p>
        </w:tc>
      </w:tr>
      <w:tr w:rsidR="00D80271" w:rsidRPr="00D50BAD" w14:paraId="438C48EB" w14:textId="77777777" w:rsidTr="00D50BAD">
        <w:tc>
          <w:tcPr>
            <w:tcW w:w="10456" w:type="dxa"/>
            <w:gridSpan w:val="4"/>
          </w:tcPr>
          <w:p w14:paraId="36FA3C69" w14:textId="77777777" w:rsidR="00D50BAD" w:rsidRDefault="00D50BAD" w:rsidP="00D50BAD">
            <w:pPr>
              <w:widowControl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Eligibility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criteria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oral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8EC5552" w14:textId="77777777" w:rsidR="00D50BAD" w:rsidRDefault="00D50BAD" w:rsidP="00D50BAD">
            <w:pPr>
              <w:numPr>
                <w:ilvl w:val="0"/>
                <w:numId w:val="9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Participation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75% of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seminars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D920813" w14:textId="77777777" w:rsidR="00D50BAD" w:rsidRDefault="00D50BAD" w:rsidP="00D50BA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5A26B8" w14:textId="464CA036" w:rsidR="00D80271" w:rsidRPr="00D50BAD" w:rsidRDefault="00D50BAD" w:rsidP="00D50BA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participate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session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of seminar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attendance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activity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won’t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received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examination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session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either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enroll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class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academic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year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7D644AC" w14:textId="77777777" w:rsidR="00D80271" w:rsidRPr="00D50BAD" w:rsidRDefault="00D80271" w:rsidP="003E7F77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544"/>
        <w:gridCol w:w="3827"/>
      </w:tblGrid>
      <w:tr w:rsidR="00172749" w14:paraId="7CB06224" w14:textId="77777777" w:rsidTr="005323B1">
        <w:tc>
          <w:tcPr>
            <w:tcW w:w="3085" w:type="dxa"/>
          </w:tcPr>
          <w:p w14:paraId="31921333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544" w:type="dxa"/>
          </w:tcPr>
          <w:p w14:paraId="4BF75CD3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titularului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curs</w:t>
            </w:r>
          </w:p>
        </w:tc>
        <w:tc>
          <w:tcPr>
            <w:tcW w:w="3827" w:type="dxa"/>
          </w:tcPr>
          <w:p w14:paraId="6BB0E790" w14:textId="77777777" w:rsidR="00172749" w:rsidRPr="00A0083A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titularului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seminar</w:t>
            </w:r>
          </w:p>
        </w:tc>
      </w:tr>
      <w:tr w:rsidR="00172749" w14:paraId="4D8376E9" w14:textId="77777777" w:rsidTr="005323B1">
        <w:tc>
          <w:tcPr>
            <w:tcW w:w="3085" w:type="dxa"/>
          </w:tcPr>
          <w:p w14:paraId="15B1EF66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25.09. 2024</w:t>
            </w:r>
          </w:p>
        </w:tc>
        <w:tc>
          <w:tcPr>
            <w:tcW w:w="3544" w:type="dxa"/>
          </w:tcPr>
          <w:p w14:paraId="6639DA51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7627C5" wp14:editId="4BE0804A">
                  <wp:extent cx="1287476" cy="1071008"/>
                  <wp:effectExtent l="0" t="0" r="0" b="0"/>
                  <wp:docPr id="2" name="Semnatura.jpg" descr="A close-up of a signatur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natura.jpg" descr="A close-up of a signatur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230" cy="11057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4795374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49" w14:paraId="0D6AE2C6" w14:textId="77777777" w:rsidTr="005323B1">
        <w:tc>
          <w:tcPr>
            <w:tcW w:w="3085" w:type="dxa"/>
          </w:tcPr>
          <w:p w14:paraId="4775A674" w14:textId="77777777" w:rsidR="00172749" w:rsidRPr="00A0083A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avizării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3544" w:type="dxa"/>
          </w:tcPr>
          <w:p w14:paraId="077F99DE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3E9870" w14:textId="5E66376B" w:rsidR="00172749" w:rsidRPr="00A0083A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directului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departament</w:t>
            </w:r>
            <w:proofErr w:type="spellEnd"/>
            <w:r w:rsidR="00284FA9" w:rsidRPr="00B031A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268F52A" wp14:editId="5F92184F">
                  <wp:extent cx="1945037" cy="746042"/>
                  <wp:effectExtent l="0" t="0" r="0" b="3810"/>
                  <wp:docPr id="783963924" name="Picture 1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63924" name="Picture 1" descr="A close up of a signature&#10;&#10;Description automatically generated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285" cy="79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749" w14:paraId="27F99281" w14:textId="77777777" w:rsidTr="005323B1">
        <w:tc>
          <w:tcPr>
            <w:tcW w:w="3085" w:type="dxa"/>
          </w:tcPr>
          <w:p w14:paraId="588A707D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25.09. 2024</w:t>
            </w:r>
          </w:p>
        </w:tc>
        <w:tc>
          <w:tcPr>
            <w:tcW w:w="3544" w:type="dxa"/>
          </w:tcPr>
          <w:p w14:paraId="520A4BD8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0C6E8A" w14:textId="77777777" w:rsidR="00172749" w:rsidRDefault="00172749" w:rsidP="00532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9C7DB9" w14:textId="4C867C95" w:rsidR="00D80271" w:rsidRPr="00D50BAD" w:rsidRDefault="00284FA9" w:rsidP="00284FA9">
      <w:pPr>
        <w:tabs>
          <w:tab w:val="left" w:pos="8375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</w:p>
    <w:sectPr w:rsidR="00D80271" w:rsidRPr="00D50BAD" w:rsidSect="00A352F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0F9E" w14:textId="77777777" w:rsidR="00A03548" w:rsidRDefault="00A03548" w:rsidP="0013700F">
      <w:pPr>
        <w:spacing w:after="0" w:line="240" w:lineRule="auto"/>
      </w:pPr>
      <w:r>
        <w:separator/>
      </w:r>
    </w:p>
  </w:endnote>
  <w:endnote w:type="continuationSeparator" w:id="0">
    <w:p w14:paraId="1F946772" w14:textId="77777777" w:rsidR="00A03548" w:rsidRDefault="00A03548" w:rsidP="001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1"/>
    <w:family w:val="auto"/>
    <w:pitch w:val="default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5FE" w14:textId="77777777" w:rsidR="0013700F" w:rsidRDefault="00137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0268" w14:textId="77777777" w:rsidR="0013700F" w:rsidRDefault="00137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6DCF" w14:textId="77777777" w:rsidR="0013700F" w:rsidRDefault="00137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D172" w14:textId="77777777" w:rsidR="00A03548" w:rsidRDefault="00A03548" w:rsidP="0013700F">
      <w:pPr>
        <w:spacing w:after="0" w:line="240" w:lineRule="auto"/>
      </w:pPr>
      <w:r>
        <w:separator/>
      </w:r>
    </w:p>
  </w:footnote>
  <w:footnote w:type="continuationSeparator" w:id="0">
    <w:p w14:paraId="783351D7" w14:textId="77777777" w:rsidR="00A03548" w:rsidRDefault="00A03548" w:rsidP="0013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B86F" w14:textId="77777777" w:rsidR="0013700F" w:rsidRDefault="00137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AA5C" w14:textId="77777777" w:rsidR="0013700F" w:rsidRDefault="00137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1866" w14:textId="77777777" w:rsidR="0013700F" w:rsidRDefault="0013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FFFFFFFF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7C34"/>
    <w:multiLevelType w:val="multilevel"/>
    <w:tmpl w:val="340876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06B206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6757"/>
    <w:multiLevelType w:val="hybridMultilevel"/>
    <w:tmpl w:val="AEA8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3E7A"/>
    <w:multiLevelType w:val="multilevel"/>
    <w:tmpl w:val="3BD610B0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84D0589"/>
    <w:multiLevelType w:val="multilevel"/>
    <w:tmpl w:val="2EF84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C409C5"/>
    <w:multiLevelType w:val="hybridMultilevel"/>
    <w:tmpl w:val="FB9C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5F8C"/>
    <w:multiLevelType w:val="hybridMultilevel"/>
    <w:tmpl w:val="FFFFFFFF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FFFFFFFF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175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C607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3149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8E0563"/>
    <w:multiLevelType w:val="hybridMultilevel"/>
    <w:tmpl w:val="FFFFFFFF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B445F"/>
    <w:multiLevelType w:val="hybridMultilevel"/>
    <w:tmpl w:val="6E60CE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AE5B7E"/>
    <w:multiLevelType w:val="multilevel"/>
    <w:tmpl w:val="5356735C"/>
    <w:lvl w:ilvl="0">
      <w:start w:val="1"/>
      <w:numFmt w:val="bullet"/>
      <w:lvlText w:val="l"/>
      <w:lvlJc w:val="left"/>
      <w:pPr>
        <w:ind w:left="641" w:hanging="357"/>
      </w:pPr>
      <w:rPr>
        <w:rFonts w:ascii="Wingdings" w:hAnsi="Wingdings" w:cs="Wingdings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862B5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9475973">
    <w:abstractNumId w:val="0"/>
  </w:num>
  <w:num w:numId="2" w16cid:durableId="299574566">
    <w:abstractNumId w:val="11"/>
  </w:num>
  <w:num w:numId="3" w16cid:durableId="1549026546">
    <w:abstractNumId w:val="9"/>
  </w:num>
  <w:num w:numId="4" w16cid:durableId="866286703">
    <w:abstractNumId w:val="14"/>
  </w:num>
  <w:num w:numId="5" w16cid:durableId="39332195">
    <w:abstractNumId w:val="12"/>
  </w:num>
  <w:num w:numId="6" w16cid:durableId="2125997164">
    <w:abstractNumId w:val="1"/>
  </w:num>
  <w:num w:numId="7" w16cid:durableId="2079396434">
    <w:abstractNumId w:val="3"/>
  </w:num>
  <w:num w:numId="8" w16cid:durableId="313418760">
    <w:abstractNumId w:val="10"/>
  </w:num>
  <w:num w:numId="9" w16cid:durableId="1301109655">
    <w:abstractNumId w:val="8"/>
  </w:num>
  <w:num w:numId="10" w16cid:durableId="1920287752">
    <w:abstractNumId w:val="13"/>
  </w:num>
  <w:num w:numId="11" w16cid:durableId="971907191">
    <w:abstractNumId w:val="17"/>
  </w:num>
  <w:num w:numId="12" w16cid:durableId="738945514">
    <w:abstractNumId w:val="4"/>
  </w:num>
  <w:num w:numId="13" w16cid:durableId="1816144191">
    <w:abstractNumId w:val="16"/>
  </w:num>
  <w:num w:numId="14" w16cid:durableId="1919509883">
    <w:abstractNumId w:val="5"/>
  </w:num>
  <w:num w:numId="15" w16cid:durableId="776490451">
    <w:abstractNumId w:val="6"/>
  </w:num>
  <w:num w:numId="16" w16cid:durableId="209191601">
    <w:abstractNumId w:val="15"/>
  </w:num>
  <w:num w:numId="17" w16cid:durableId="2040622478">
    <w:abstractNumId w:val="7"/>
  </w:num>
  <w:num w:numId="18" w16cid:durableId="207496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3587"/>
    <w:rsid w:val="00036CBD"/>
    <w:rsid w:val="00060642"/>
    <w:rsid w:val="00063882"/>
    <w:rsid w:val="0007194F"/>
    <w:rsid w:val="0007451C"/>
    <w:rsid w:val="00081711"/>
    <w:rsid w:val="00081F59"/>
    <w:rsid w:val="000867F1"/>
    <w:rsid w:val="000C41CC"/>
    <w:rsid w:val="001056B3"/>
    <w:rsid w:val="0013700F"/>
    <w:rsid w:val="00145467"/>
    <w:rsid w:val="001502EA"/>
    <w:rsid w:val="001722FE"/>
    <w:rsid w:val="00172749"/>
    <w:rsid w:val="00173D80"/>
    <w:rsid w:val="00181579"/>
    <w:rsid w:val="001F5FB5"/>
    <w:rsid w:val="002031AD"/>
    <w:rsid w:val="00220501"/>
    <w:rsid w:val="00260361"/>
    <w:rsid w:val="002707AA"/>
    <w:rsid w:val="0027455B"/>
    <w:rsid w:val="00280F3E"/>
    <w:rsid w:val="002812A5"/>
    <w:rsid w:val="00284FA9"/>
    <w:rsid w:val="00290523"/>
    <w:rsid w:val="00291777"/>
    <w:rsid w:val="002A2FB9"/>
    <w:rsid w:val="002B547B"/>
    <w:rsid w:val="002D6F9F"/>
    <w:rsid w:val="002D6FA1"/>
    <w:rsid w:val="002E75CA"/>
    <w:rsid w:val="00315FCB"/>
    <w:rsid w:val="00332652"/>
    <w:rsid w:val="0033389E"/>
    <w:rsid w:val="003343CB"/>
    <w:rsid w:val="00341765"/>
    <w:rsid w:val="0034390B"/>
    <w:rsid w:val="00343DED"/>
    <w:rsid w:val="003735F2"/>
    <w:rsid w:val="003806E1"/>
    <w:rsid w:val="003A2BAF"/>
    <w:rsid w:val="003B5A02"/>
    <w:rsid w:val="003E7F77"/>
    <w:rsid w:val="004250B5"/>
    <w:rsid w:val="00444853"/>
    <w:rsid w:val="00450A21"/>
    <w:rsid w:val="004A12E6"/>
    <w:rsid w:val="004B7177"/>
    <w:rsid w:val="004C5311"/>
    <w:rsid w:val="004D78F1"/>
    <w:rsid w:val="004E7C87"/>
    <w:rsid w:val="005349D8"/>
    <w:rsid w:val="00537DC8"/>
    <w:rsid w:val="005869D7"/>
    <w:rsid w:val="005A12E1"/>
    <w:rsid w:val="005A1416"/>
    <w:rsid w:val="005A417D"/>
    <w:rsid w:val="005C48ED"/>
    <w:rsid w:val="005E2947"/>
    <w:rsid w:val="005F0EF8"/>
    <w:rsid w:val="0061662C"/>
    <w:rsid w:val="00681F72"/>
    <w:rsid w:val="00691E96"/>
    <w:rsid w:val="00696A5C"/>
    <w:rsid w:val="006A2BAF"/>
    <w:rsid w:val="006D061F"/>
    <w:rsid w:val="006D3FB1"/>
    <w:rsid w:val="006F21E9"/>
    <w:rsid w:val="00721072"/>
    <w:rsid w:val="0073451E"/>
    <w:rsid w:val="0073618A"/>
    <w:rsid w:val="007449F1"/>
    <w:rsid w:val="0075750F"/>
    <w:rsid w:val="00757C43"/>
    <w:rsid w:val="00761633"/>
    <w:rsid w:val="007658C2"/>
    <w:rsid w:val="0076702F"/>
    <w:rsid w:val="007A7D1B"/>
    <w:rsid w:val="007A7F4C"/>
    <w:rsid w:val="008027E9"/>
    <w:rsid w:val="00805280"/>
    <w:rsid w:val="0083153A"/>
    <w:rsid w:val="008455C2"/>
    <w:rsid w:val="008712DB"/>
    <w:rsid w:val="008941DC"/>
    <w:rsid w:val="00897094"/>
    <w:rsid w:val="00897E4F"/>
    <w:rsid w:val="008A2732"/>
    <w:rsid w:val="009051B1"/>
    <w:rsid w:val="009130F2"/>
    <w:rsid w:val="009344CB"/>
    <w:rsid w:val="00942FBF"/>
    <w:rsid w:val="00970613"/>
    <w:rsid w:val="009D1840"/>
    <w:rsid w:val="009F4C58"/>
    <w:rsid w:val="009F7A47"/>
    <w:rsid w:val="00A03548"/>
    <w:rsid w:val="00A26053"/>
    <w:rsid w:val="00A352F6"/>
    <w:rsid w:val="00A40540"/>
    <w:rsid w:val="00A46B0C"/>
    <w:rsid w:val="00A5014E"/>
    <w:rsid w:val="00A51952"/>
    <w:rsid w:val="00A51BF7"/>
    <w:rsid w:val="00A61F58"/>
    <w:rsid w:val="00A637BC"/>
    <w:rsid w:val="00A85326"/>
    <w:rsid w:val="00A87D79"/>
    <w:rsid w:val="00A94951"/>
    <w:rsid w:val="00AB18CF"/>
    <w:rsid w:val="00AB24DE"/>
    <w:rsid w:val="00AD45D2"/>
    <w:rsid w:val="00AF6FD6"/>
    <w:rsid w:val="00B1268A"/>
    <w:rsid w:val="00B23C69"/>
    <w:rsid w:val="00B46AA2"/>
    <w:rsid w:val="00B47038"/>
    <w:rsid w:val="00B67F03"/>
    <w:rsid w:val="00B7109F"/>
    <w:rsid w:val="00BB00F4"/>
    <w:rsid w:val="00BD2A58"/>
    <w:rsid w:val="00BD4A9B"/>
    <w:rsid w:val="00BE72AF"/>
    <w:rsid w:val="00C0413E"/>
    <w:rsid w:val="00C1183D"/>
    <w:rsid w:val="00C938B3"/>
    <w:rsid w:val="00CC020E"/>
    <w:rsid w:val="00CE71E1"/>
    <w:rsid w:val="00D126FF"/>
    <w:rsid w:val="00D50069"/>
    <w:rsid w:val="00D50BAD"/>
    <w:rsid w:val="00D80271"/>
    <w:rsid w:val="00D87C09"/>
    <w:rsid w:val="00DD0617"/>
    <w:rsid w:val="00DD2B25"/>
    <w:rsid w:val="00DE5842"/>
    <w:rsid w:val="00E037F6"/>
    <w:rsid w:val="00E1508A"/>
    <w:rsid w:val="00E26B2B"/>
    <w:rsid w:val="00E34BCF"/>
    <w:rsid w:val="00E369BF"/>
    <w:rsid w:val="00E4201D"/>
    <w:rsid w:val="00E76F87"/>
    <w:rsid w:val="00E81DBF"/>
    <w:rsid w:val="00EB1368"/>
    <w:rsid w:val="00EB1A77"/>
    <w:rsid w:val="00EC19B3"/>
    <w:rsid w:val="00EC7E7A"/>
    <w:rsid w:val="00EE1ADE"/>
    <w:rsid w:val="00EE5AFF"/>
    <w:rsid w:val="00EF3756"/>
    <w:rsid w:val="00F14A6D"/>
    <w:rsid w:val="00F15C49"/>
    <w:rsid w:val="00F300B9"/>
    <w:rsid w:val="00F61319"/>
    <w:rsid w:val="00F9098F"/>
    <w:rsid w:val="00FA037A"/>
    <w:rsid w:val="00FA19DE"/>
    <w:rsid w:val="00FB6113"/>
    <w:rsid w:val="00FE0647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88B4D5"/>
  <w14:defaultImageDpi w14:val="0"/>
  <w15:docId w15:val="{431F50A3-A41A-4D2F-8D58-3310C5FD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5B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50BAD"/>
    <w:pPr>
      <w:keepNext/>
      <w:keepLines/>
      <w:spacing w:before="480" w:after="120"/>
      <w:outlineLvl w:val="0"/>
    </w:pPr>
    <w:rPr>
      <w:rFonts w:eastAsia="Calibri" w:cs="Calibri"/>
      <w:b/>
      <w:color w:val="00000A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39"/>
    <w:rsid w:val="003E7F77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imes New Roman" w:hAnsi="Times New Roman"/>
      <w:sz w:val="2"/>
      <w:szCs w:val="20"/>
    </w:rPr>
  </w:style>
  <w:style w:type="character" w:customStyle="1" w:styleId="xc1">
    <w:name w:val="xc1"/>
    <w:uiPriority w:val="99"/>
    <w:rsid w:val="006F21E9"/>
    <w:rPr>
      <w:rFonts w:ascii="Arial" w:hAnsi="Arial"/>
      <w:color w:val="000000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9B3"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13700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137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00F"/>
    <w:rPr>
      <w:rFonts w:cs="Times New Roman"/>
      <w:lang w:val="ro-RO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00F"/>
    <w:rPr>
      <w:rFonts w:cs="Times New Roman"/>
      <w:lang w:val="ro-RO" w:eastAsia="x-none"/>
    </w:rPr>
  </w:style>
  <w:style w:type="character" w:customStyle="1" w:styleId="InternetLink">
    <w:name w:val="Internet Link"/>
    <w:basedOn w:val="DefaultParagraphFont"/>
    <w:uiPriority w:val="99"/>
    <w:unhideWhenUsed/>
    <w:rsid w:val="00D50B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0BAD"/>
    <w:rPr>
      <w:rFonts w:eastAsia="Calibri"/>
      <w:b/>
      <w:color w:val="00000A"/>
      <w:sz w:val="48"/>
      <w:szCs w:val="48"/>
      <w:lang w:val="en-US" w:eastAsia="en-US"/>
    </w:rPr>
  </w:style>
  <w:style w:type="paragraph" w:customStyle="1" w:styleId="c-bibliographic-informationcitation">
    <w:name w:val="c-bibliographic-information__citation"/>
    <w:basedOn w:val="Normal"/>
    <w:rsid w:val="00D50B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RO" w:eastAsia="en-GB"/>
    </w:rPr>
  </w:style>
  <w:style w:type="character" w:customStyle="1" w:styleId="apple-converted-space">
    <w:name w:val="apple-converted-space"/>
    <w:basedOn w:val="DefaultParagraphFont"/>
    <w:rsid w:val="00D50BAD"/>
  </w:style>
  <w:style w:type="character" w:styleId="Hyperlink">
    <w:name w:val="Hyperlink"/>
    <w:uiPriority w:val="99"/>
    <w:rsid w:val="00D50BAD"/>
    <w:rPr>
      <w:color w:val="0000FF"/>
      <w:u w:val="single"/>
    </w:rPr>
  </w:style>
  <w:style w:type="character" w:customStyle="1" w:styleId="authorname">
    <w:name w:val="authorname"/>
    <w:basedOn w:val="DefaultParagraphFont"/>
    <w:rsid w:val="00D50BAD"/>
  </w:style>
  <w:style w:type="character" w:customStyle="1" w:styleId="separator">
    <w:name w:val="separator"/>
    <w:basedOn w:val="DefaultParagraphFont"/>
    <w:rsid w:val="00D50BAD"/>
  </w:style>
  <w:style w:type="character" w:customStyle="1" w:styleId="Date1">
    <w:name w:val="Date1"/>
    <w:basedOn w:val="DefaultParagraphFont"/>
    <w:rsid w:val="00D50BAD"/>
  </w:style>
  <w:style w:type="character" w:customStyle="1" w:styleId="arttitle">
    <w:name w:val="art_title"/>
    <w:basedOn w:val="DefaultParagraphFont"/>
    <w:rsid w:val="00D50BAD"/>
  </w:style>
  <w:style w:type="character" w:customStyle="1" w:styleId="serialtitle">
    <w:name w:val="serial_title"/>
    <w:basedOn w:val="DefaultParagraphFont"/>
    <w:rsid w:val="00D50BAD"/>
  </w:style>
  <w:style w:type="character" w:customStyle="1" w:styleId="volumeissue">
    <w:name w:val="volume_issue"/>
    <w:basedOn w:val="DefaultParagraphFont"/>
    <w:rsid w:val="00D50BAD"/>
  </w:style>
  <w:style w:type="character" w:customStyle="1" w:styleId="pagerange">
    <w:name w:val="page_range"/>
    <w:basedOn w:val="DefaultParagraphFont"/>
    <w:rsid w:val="00D50BAD"/>
  </w:style>
  <w:style w:type="character" w:customStyle="1" w:styleId="doilink">
    <w:name w:val="doi_link"/>
    <w:basedOn w:val="DefaultParagraphFont"/>
    <w:rsid w:val="00D50BAD"/>
  </w:style>
  <w:style w:type="character" w:styleId="Emphasis">
    <w:name w:val="Emphasis"/>
    <w:basedOn w:val="DefaultParagraphFont"/>
    <w:uiPriority w:val="20"/>
    <w:qFormat/>
    <w:locked/>
    <w:rsid w:val="00A51BF7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A51BF7"/>
    <w:rPr>
      <w:b/>
      <w:bCs/>
    </w:rPr>
  </w:style>
  <w:style w:type="paragraph" w:styleId="NormalWeb">
    <w:name w:val="Normal (Web)"/>
    <w:basedOn w:val="Normal"/>
    <w:uiPriority w:val="99"/>
    <w:unhideWhenUsed/>
    <w:rsid w:val="00E150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455">
          <w:marLeft w:val="0"/>
          <w:marRight w:val="0"/>
          <w:marTop w:val="0"/>
          <w:marBottom w:val="0"/>
          <w:divBdr>
            <w:top w:val="double" w:sz="2" w:space="0" w:color="ACB9C6"/>
            <w:left w:val="double" w:sz="2" w:space="0" w:color="ACB9C6"/>
            <w:bottom w:val="double" w:sz="2" w:space="0" w:color="ACB9C6"/>
            <w:right w:val="double" w:sz="2" w:space="0" w:color="ACB9C6"/>
          </w:divBdr>
        </w:div>
      </w:divsChild>
    </w:div>
    <w:div w:id="211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nticcouncil.org/in-depth-research-reports/report/digital-sovereignty-europes-declaration-of-independence/?utm_source=chatgpt.com" TargetMode="External"/><Relationship Id="rId13" Type="http://schemas.openxmlformats.org/officeDocument/2006/relationships/hyperlink" Target="https://www.ceps.eu/ceps-publications/how-to-radically-simplify-and-streamline-the-eu-enlargement-process/" TargetMode="External"/><Relationship Id="rId18" Type="http://schemas.openxmlformats.org/officeDocument/2006/relationships/hyperlink" Target="https://www.bruegel.org/analysis/thinking-european-first-and-its-implications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spac.ubbcluj.ro/application/files/9215/7017/6735/FSPAC-code-of-ethics.pdf" TargetMode="External"/><Relationship Id="rId12" Type="http://schemas.openxmlformats.org/officeDocument/2006/relationships/hyperlink" Target="https://fiia.fi/en/publication/the-european-unions-crisis-management-efforts" TargetMode="External"/><Relationship Id="rId17" Type="http://schemas.openxmlformats.org/officeDocument/2006/relationships/hyperlink" Target="https://epthinktank.eu/2026/01/15/the-european-democracy-shield-an-overview/?utm_source=chatgpt.com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astangliabylines.co.uk/business/economics/decline-what-decline-the-myth-of-dying-europe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ignaffairs.com/europe/beware-europe-you-wish-wallander?utm_source=chatgpt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cfr.eu/publication/accelerate-the-accessions-why-faster-is-better-in-eu-enlargement-policy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fiia.fi/en/publication/demands-for-european-security-and-defence-cooperation-in-ukraine-after-russias-invasion?utm_source=chatgpt.com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clingendael.org/sites/default/files/2025-10/Report_Raising_the_Standard.pdf?utm_source=chatgpt.com" TargetMode="External"/><Relationship Id="rId14" Type="http://schemas.openxmlformats.org/officeDocument/2006/relationships/hyperlink" Target="https://ecfr.eu/article/the-next-big-bang-how-the-eu-can-fast-track-enlargement-amid-geopolitical-tensions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2518</Words>
  <Characters>15816</Characters>
  <Application>Microsoft Office Word</Application>
  <DocSecurity>0</DocSecurity>
  <Lines>632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- IULIAN JIGLĂU</dc:creator>
  <cp:keywords/>
  <dc:description/>
  <cp:lastModifiedBy>Anca-Cristina Sinea</cp:lastModifiedBy>
  <cp:revision>7</cp:revision>
  <dcterms:created xsi:type="dcterms:W3CDTF">2024-10-17T09:57:00Z</dcterms:created>
  <dcterms:modified xsi:type="dcterms:W3CDTF">2026-03-04T21:09:00Z</dcterms:modified>
</cp:coreProperties>
</file>