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060"/>
        <w:gridCol w:w="196"/>
        <w:gridCol w:w="281"/>
        <w:gridCol w:w="1220"/>
        <w:gridCol w:w="279"/>
        <w:gridCol w:w="1224"/>
        <w:gridCol w:w="276"/>
        <w:gridCol w:w="1223"/>
        <w:gridCol w:w="277"/>
        <w:gridCol w:w="1237"/>
        <w:gridCol w:w="263"/>
        <w:gridCol w:w="1236"/>
      </w:tblGrid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Title"/>
              <w:rPr>
                <w:lang w:val="ro-RO"/>
              </w:rPr>
            </w:pPr>
            <w:bookmarkStart w:id="0" w:name="_GoBack"/>
            <w:bookmarkEnd w:id="0"/>
            <w:r w:rsidRPr="0092733A">
              <w:rPr>
                <w:lang w:val="ro-RO"/>
              </w:rPr>
              <w:t xml:space="preserve">Curriculum vitae </w:t>
            </w:r>
          </w:p>
          <w:p w:rsidR="00032C66" w:rsidRPr="0092733A" w:rsidRDefault="00032C66">
            <w:pPr>
              <w:pStyle w:val="CVTitle"/>
              <w:rPr>
                <w:lang w:val="ro-RO"/>
              </w:rPr>
            </w:pPr>
            <w:r w:rsidRPr="0092733A">
              <w:rPr>
                <w:lang w:val="ro-RO"/>
              </w:rPr>
              <w:t xml:space="preserve">Europass </w:t>
            </w: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Normal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1"/>
              <w:spacing w:before="0"/>
            </w:pPr>
            <w:r w:rsidRPr="0092733A">
              <w:t>Informaţii personale</w:t>
            </w: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Normal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2-FirstLine"/>
              <w:spacing w:before="0"/>
            </w:pPr>
            <w:r w:rsidRPr="0092733A">
              <w:t>Nume / Prenume</w:t>
            </w:r>
          </w:p>
        </w:tc>
        <w:tc>
          <w:tcPr>
            <w:tcW w:w="7712" w:type="dxa"/>
            <w:gridSpan w:val="11"/>
          </w:tcPr>
          <w:p w:rsidR="00032C66" w:rsidRPr="0092733A" w:rsidRDefault="005151EC" w:rsidP="005151EC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lang w:val="hu-HU"/>
              </w:rPr>
              <w:t>PÁLFY Zoltán</w:t>
            </w:r>
            <w:r w:rsidR="00032C66" w:rsidRPr="0092733A">
              <w:t xml:space="preserve"> 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3"/>
            </w:pP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Normal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3"/>
            </w:pPr>
            <w:r w:rsidRPr="0092733A">
              <w:t>E-mail(uri)</w:t>
            </w:r>
          </w:p>
        </w:tc>
        <w:tc>
          <w:tcPr>
            <w:tcW w:w="7712" w:type="dxa"/>
            <w:gridSpan w:val="11"/>
          </w:tcPr>
          <w:p w:rsidR="00032C66" w:rsidRPr="008034C3" w:rsidRDefault="009307B9" w:rsidP="00177FEA">
            <w:pPr>
              <w:pStyle w:val="CVNormal"/>
              <w:rPr>
                <w:lang w:val="en-US"/>
              </w:rPr>
            </w:pPr>
            <w:hyperlink r:id="rId8" w:history="1">
              <w:r w:rsidR="00177FEA" w:rsidRPr="00613E4B">
                <w:rPr>
                  <w:rStyle w:val="Hyperlink"/>
                </w:rPr>
                <w:t>palffy@fspac.ro</w:t>
              </w:r>
            </w:hyperlink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3-FirstLine"/>
              <w:spacing w:before="0"/>
            </w:pPr>
            <w:r w:rsidRPr="0092733A">
              <w:t>Naţionalitate(-tăţi)</w:t>
            </w:r>
          </w:p>
        </w:tc>
        <w:tc>
          <w:tcPr>
            <w:tcW w:w="7712" w:type="dxa"/>
            <w:gridSpan w:val="11"/>
          </w:tcPr>
          <w:p w:rsidR="00032C66" w:rsidRPr="0092733A" w:rsidRDefault="00180EA5">
            <w:pPr>
              <w:pStyle w:val="CVNormal"/>
            </w:pPr>
            <w:r w:rsidRPr="0092733A">
              <w:t xml:space="preserve">Română 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3-FirstLine"/>
              <w:spacing w:before="0"/>
            </w:pPr>
            <w:r w:rsidRPr="0092733A">
              <w:t>Data naşterii</w:t>
            </w:r>
          </w:p>
        </w:tc>
        <w:tc>
          <w:tcPr>
            <w:tcW w:w="7712" w:type="dxa"/>
            <w:gridSpan w:val="11"/>
          </w:tcPr>
          <w:p w:rsidR="00032C66" w:rsidRPr="0092733A" w:rsidRDefault="008034C3" w:rsidP="008034C3">
            <w:pPr>
              <w:pStyle w:val="CVNormal"/>
            </w:pPr>
            <w:r>
              <w:t>24</w:t>
            </w:r>
            <w:r w:rsidR="00180EA5" w:rsidRPr="0092733A">
              <w:t>.0</w:t>
            </w:r>
            <w:r>
              <w:t>9</w:t>
            </w:r>
            <w:r w:rsidR="00180EA5" w:rsidRPr="0092733A">
              <w:t>.19</w:t>
            </w:r>
            <w:r>
              <w:t>64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3-FirstLine"/>
              <w:spacing w:before="0"/>
            </w:pPr>
            <w:r w:rsidRPr="0092733A">
              <w:t>Sex</w:t>
            </w:r>
          </w:p>
        </w:tc>
        <w:tc>
          <w:tcPr>
            <w:tcW w:w="7712" w:type="dxa"/>
            <w:gridSpan w:val="11"/>
          </w:tcPr>
          <w:p w:rsidR="00032C66" w:rsidRPr="0092733A" w:rsidRDefault="008034C3" w:rsidP="008034C3">
            <w:pPr>
              <w:pStyle w:val="CVNormal"/>
            </w:pPr>
            <w:r>
              <w:t>Masculin</w:t>
            </w:r>
            <w:r w:rsidR="00180EA5" w:rsidRPr="0092733A">
              <w:t xml:space="preserve"> 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1"/>
              <w:spacing w:before="0"/>
            </w:pPr>
            <w:r w:rsidRPr="0092733A">
              <w:t>Experienţa profesională</w:t>
            </w: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Normal-FirstLine"/>
              <w:spacing w:before="0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032C66" w:rsidRPr="0092733A" w:rsidRDefault="00032C66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3-FirstLine"/>
              <w:spacing w:before="0"/>
            </w:pPr>
            <w:r w:rsidRPr="0092733A">
              <w:t>Perioada</w:t>
            </w:r>
          </w:p>
        </w:tc>
        <w:tc>
          <w:tcPr>
            <w:tcW w:w="7712" w:type="dxa"/>
            <w:gridSpan w:val="11"/>
          </w:tcPr>
          <w:p w:rsidR="00032C66" w:rsidRPr="0092733A" w:rsidRDefault="00180EA5" w:rsidP="00B34963">
            <w:pPr>
              <w:pStyle w:val="CVNormal"/>
            </w:pPr>
            <w:r w:rsidRPr="0092733A">
              <w:t xml:space="preserve">Din </w:t>
            </w:r>
            <w:r w:rsidR="00B34963">
              <w:t>octombrie 2002, respectiv din iunie 2007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3"/>
            </w:pPr>
            <w:r w:rsidRPr="0092733A">
              <w:t>Funcţia sau postul ocupat</w:t>
            </w:r>
          </w:p>
        </w:tc>
        <w:tc>
          <w:tcPr>
            <w:tcW w:w="7712" w:type="dxa"/>
            <w:gridSpan w:val="11"/>
          </w:tcPr>
          <w:p w:rsidR="00032C66" w:rsidRPr="0092733A" w:rsidRDefault="00B34963" w:rsidP="00B34963">
            <w:pPr>
              <w:pStyle w:val="CVNormal"/>
            </w:pPr>
            <w:r>
              <w:t>Asistent universitar, respectiv l</w:t>
            </w:r>
            <w:r w:rsidR="00180EA5" w:rsidRPr="0092733A">
              <w:t>ector universitar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032C66" w:rsidRPr="0092733A" w:rsidRDefault="00032C66">
            <w:pPr>
              <w:pStyle w:val="CVHeading3"/>
            </w:pPr>
            <w:r w:rsidRPr="0092733A">
              <w:t>Activităţi şi responsabilităţi principale</w:t>
            </w:r>
          </w:p>
        </w:tc>
        <w:tc>
          <w:tcPr>
            <w:tcW w:w="7712" w:type="dxa"/>
            <w:gridSpan w:val="11"/>
          </w:tcPr>
          <w:p w:rsidR="00032C66" w:rsidRPr="0092733A" w:rsidRDefault="00180EA5">
            <w:pPr>
              <w:pStyle w:val="CVNormal"/>
            </w:pPr>
            <w:r w:rsidRPr="0092733A">
              <w:t>Activităţi didactice şi de cercetare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180EA5" w:rsidRPr="0092733A" w:rsidRDefault="00180EA5">
            <w:pPr>
              <w:pStyle w:val="CVHeading3"/>
            </w:pPr>
            <w:r w:rsidRPr="0092733A">
              <w:t>Numele şi adresa angajatorului</w:t>
            </w:r>
          </w:p>
        </w:tc>
        <w:tc>
          <w:tcPr>
            <w:tcW w:w="7712" w:type="dxa"/>
            <w:gridSpan w:val="11"/>
          </w:tcPr>
          <w:p w:rsidR="00180EA5" w:rsidRPr="0092733A" w:rsidRDefault="00180EA5" w:rsidP="00032C66">
            <w:pPr>
              <w:pStyle w:val="CVNormal"/>
              <w:snapToGrid w:val="0"/>
            </w:pPr>
            <w:r w:rsidRPr="0092733A">
              <w:t>Facultatea de Ştiinţe Politice, Aministrative şi ale Comunicării, Universitatea Babe</w:t>
            </w:r>
            <w:r w:rsidR="0092733A">
              <w:t>ș—</w:t>
            </w:r>
            <w:r w:rsidRPr="0092733A">
              <w:t>Bolyai, str. Traian Mo</w:t>
            </w:r>
            <w:r w:rsidR="0092733A">
              <w:t>ș</w:t>
            </w:r>
            <w:r w:rsidRPr="0092733A">
              <w:t>oiu, nr. 71, 400132, Cluj-</w:t>
            </w:r>
            <w:r w:rsidR="0092733A">
              <w:t>Napoca, Româ</w:t>
            </w:r>
            <w:r w:rsidRPr="0092733A">
              <w:t>nia</w:t>
            </w:r>
          </w:p>
          <w:p w:rsidR="00180EA5" w:rsidRPr="0092733A" w:rsidRDefault="00180EA5" w:rsidP="00032C66">
            <w:pPr>
              <w:pStyle w:val="CVNormal"/>
            </w:pPr>
            <w:r w:rsidRPr="0092733A">
              <w:t xml:space="preserve">Tel: 0264-431505, Fax: 0264-406054, E-mail: badescu@fspac.ro, </w:t>
            </w:r>
          </w:p>
          <w:p w:rsidR="00180EA5" w:rsidRPr="0092733A" w:rsidRDefault="00180EA5" w:rsidP="00032C66">
            <w:pPr>
              <w:pStyle w:val="CVNormal"/>
              <w:snapToGrid w:val="0"/>
              <w:ind w:left="135" w:right="105"/>
            </w:pPr>
            <w:r w:rsidRPr="0092733A">
              <w:t xml:space="preserve">Website:  </w:t>
            </w:r>
            <w:hyperlink r:id="rId9" w:history="1">
              <w:r w:rsidR="008034C3" w:rsidRPr="00AC5D55">
                <w:rPr>
                  <w:rStyle w:val="Hyperlink"/>
                </w:rPr>
                <w:t>www.polito.ubbcluj.ro</w:t>
              </w:r>
            </w:hyperlink>
            <w:r w:rsidR="00B505D0">
              <w:t xml:space="preserve"> 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180EA5" w:rsidRPr="0092733A" w:rsidRDefault="00180EA5">
            <w:pPr>
              <w:pStyle w:val="CVHeading3"/>
            </w:pPr>
            <w:r w:rsidRPr="0092733A">
              <w:t>Tipul activităţii sau sectorul de activitate</w:t>
            </w:r>
          </w:p>
        </w:tc>
        <w:tc>
          <w:tcPr>
            <w:tcW w:w="7712" w:type="dxa"/>
            <w:gridSpan w:val="11"/>
          </w:tcPr>
          <w:p w:rsidR="00180EA5" w:rsidRPr="0092733A" w:rsidRDefault="00180EA5" w:rsidP="00032C66">
            <w:pPr>
              <w:pStyle w:val="CVNormal"/>
              <w:snapToGrid w:val="0"/>
            </w:pPr>
            <w:r w:rsidRPr="0092733A">
              <w:t>Învăţământ superior</w:t>
            </w:r>
          </w:p>
          <w:p w:rsidR="00180EA5" w:rsidRPr="0092733A" w:rsidRDefault="00180EA5" w:rsidP="00032C66">
            <w:pPr>
              <w:pStyle w:val="CVNormal"/>
              <w:snapToGrid w:val="0"/>
              <w:ind w:left="0"/>
              <w:rPr>
                <w:sz w:val="10"/>
                <w:szCs w:val="10"/>
              </w:rPr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180EA5" w:rsidRPr="0092733A" w:rsidRDefault="00180EA5">
            <w:pPr>
              <w:pStyle w:val="CVHeading1"/>
              <w:spacing w:before="0"/>
            </w:pPr>
            <w:r w:rsidRPr="0092733A">
              <w:t>Educaţie şi formare</w:t>
            </w:r>
          </w:p>
        </w:tc>
        <w:tc>
          <w:tcPr>
            <w:tcW w:w="7712" w:type="dxa"/>
            <w:gridSpan w:val="11"/>
          </w:tcPr>
          <w:p w:rsidR="00180EA5" w:rsidRPr="0092733A" w:rsidRDefault="00180EA5">
            <w:pPr>
              <w:pStyle w:val="CVNormal-FirstLine"/>
              <w:spacing w:before="0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>
            <w:pPr>
              <w:pStyle w:val="CVHeading3-FirstLine"/>
              <w:spacing w:before="0"/>
            </w:pPr>
            <w:r w:rsidRPr="0092733A">
              <w:t>Perioada</w:t>
            </w:r>
          </w:p>
        </w:tc>
        <w:tc>
          <w:tcPr>
            <w:tcW w:w="7712" w:type="dxa"/>
            <w:gridSpan w:val="11"/>
          </w:tcPr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 xml:space="preserve">1998—2003 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>
            <w:pPr>
              <w:pStyle w:val="CVHeading3"/>
            </w:pPr>
            <w:r w:rsidRPr="0092733A">
              <w:t>Calificarea / diploma obţinută</w:t>
            </w:r>
          </w:p>
        </w:tc>
        <w:tc>
          <w:tcPr>
            <w:tcW w:w="7712" w:type="dxa"/>
            <w:gridSpan w:val="11"/>
          </w:tcPr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>Doctorat (Ph.D.) în Istorie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>
            <w:pPr>
              <w:pStyle w:val="CVHeading3"/>
            </w:pPr>
            <w:r w:rsidRPr="0092733A">
              <w:t>Disciplinele principale studiate / competenţe profesionale dobândite</w:t>
            </w:r>
          </w:p>
        </w:tc>
        <w:tc>
          <w:tcPr>
            <w:tcW w:w="7712" w:type="dxa"/>
            <w:gridSpan w:val="11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 xml:space="preserve">Istoria comparată a Europei Centrale și de Sud-Est, </w:t>
            </w:r>
            <w:r w:rsidR="00A26EF1">
              <w:t>i</w:t>
            </w:r>
            <w:r w:rsidRPr="0092733A">
              <w:t xml:space="preserve">storia </w:t>
            </w:r>
            <w:r w:rsidR="008034C3">
              <w:t>învățământului superior</w:t>
            </w:r>
            <w:r w:rsidRPr="0092733A">
              <w:t>,</w:t>
            </w:r>
            <w:r w:rsidR="008034C3">
              <w:t xml:space="preserve"> istorie socială</w:t>
            </w:r>
            <w:r w:rsidRPr="0092733A">
              <w:t xml:space="preserve"> Metodologia cercetării în științele sociale</w:t>
            </w:r>
          </w:p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 xml:space="preserve"> 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>
            <w:pPr>
              <w:pStyle w:val="CVHeading3"/>
            </w:pPr>
            <w:r w:rsidRPr="0092733A">
              <w:t>Numele şi tipul instituţiei de învăţământ / furnizorului de formare</w:t>
            </w:r>
          </w:p>
        </w:tc>
        <w:tc>
          <w:tcPr>
            <w:tcW w:w="7712" w:type="dxa"/>
            <w:gridSpan w:val="11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Universitatea Central Europeană (Central European University), Budapesta, Ungaria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180EA5" w:rsidRPr="0092733A" w:rsidRDefault="00180EA5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180EA5" w:rsidRPr="0092733A" w:rsidRDefault="00180EA5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 w:rsidP="00032C66">
            <w:pPr>
              <w:pStyle w:val="CVHeading3-FirstLine"/>
              <w:spacing w:before="0"/>
            </w:pPr>
            <w:r w:rsidRPr="0092733A">
              <w:t>Perioada</w:t>
            </w:r>
          </w:p>
        </w:tc>
        <w:tc>
          <w:tcPr>
            <w:tcW w:w="7712" w:type="dxa"/>
            <w:gridSpan w:val="11"/>
          </w:tcPr>
          <w:p w:rsidR="00603726" w:rsidRPr="0092733A" w:rsidRDefault="00603726" w:rsidP="00603726">
            <w:pPr>
              <w:pStyle w:val="CVNormal"/>
              <w:snapToGrid w:val="0"/>
            </w:pPr>
            <w:r w:rsidRPr="0092733A">
              <w:t>1996—1997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Calificarea / diploma obţinută</w:t>
            </w:r>
          </w:p>
        </w:tc>
        <w:tc>
          <w:tcPr>
            <w:tcW w:w="7712" w:type="dxa"/>
            <w:gridSpan w:val="11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Masterat (M.A.) în Istorie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Disciplinele principale studiate / competenţe profesionale dobândite</w:t>
            </w:r>
          </w:p>
        </w:tc>
        <w:tc>
          <w:tcPr>
            <w:tcW w:w="7712" w:type="dxa"/>
            <w:gridSpan w:val="11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 xml:space="preserve">Istoria comparată a </w:t>
            </w:r>
            <w:r w:rsidR="00C127A8">
              <w:t>Europei Centrale și de Sud-Est,</w:t>
            </w:r>
            <w:r w:rsidRPr="0092733A">
              <w:t xml:space="preserve"> Națiuni și naționalism</w:t>
            </w:r>
          </w:p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 xml:space="preserve"> 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Numele şi tipul instituţiei de învăţământ / furnizorului de formare</w:t>
            </w:r>
          </w:p>
        </w:tc>
        <w:tc>
          <w:tcPr>
            <w:tcW w:w="7712" w:type="dxa"/>
            <w:gridSpan w:val="11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Universitatea Central Europeană (Central European University), Budapesta, Ungaria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 w:rsidP="00032C66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603726" w:rsidRPr="0092733A" w:rsidRDefault="00603726" w:rsidP="00032C66">
            <w:pPr>
              <w:pStyle w:val="CVSpacer"/>
            </w:pP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A50FF" w:rsidRDefault="006A50FF" w:rsidP="006A50FF">
            <w:pPr>
              <w:pStyle w:val="CVHeading3-FirstLine"/>
              <w:spacing w:before="0"/>
              <w:ind w:left="0"/>
              <w:jc w:val="left"/>
            </w:pPr>
            <w:r>
              <w:t xml:space="preserve">                                                                   </w:t>
            </w:r>
          </w:p>
          <w:p w:rsidR="00603726" w:rsidRPr="0092733A" w:rsidRDefault="006A50FF" w:rsidP="006A50FF">
            <w:pPr>
              <w:pStyle w:val="CVHeading3-FirstLine"/>
              <w:spacing w:before="0"/>
              <w:ind w:left="0"/>
              <w:jc w:val="left"/>
            </w:pPr>
            <w:r>
              <w:t xml:space="preserve">                                                  </w:t>
            </w:r>
            <w:r w:rsidR="00603726" w:rsidRPr="0092733A">
              <w:t>Perioada</w:t>
            </w:r>
          </w:p>
        </w:tc>
        <w:tc>
          <w:tcPr>
            <w:tcW w:w="7712" w:type="dxa"/>
            <w:gridSpan w:val="11"/>
          </w:tcPr>
          <w:p w:rsidR="006A50FF" w:rsidRDefault="006A50FF" w:rsidP="00C127A8">
            <w:pPr>
              <w:pStyle w:val="CVNormal"/>
              <w:snapToGrid w:val="0"/>
            </w:pPr>
          </w:p>
          <w:p w:rsidR="00603726" w:rsidRPr="0092733A" w:rsidRDefault="00603726" w:rsidP="00C127A8">
            <w:pPr>
              <w:pStyle w:val="CVNormal"/>
              <w:snapToGrid w:val="0"/>
            </w:pPr>
            <w:r w:rsidRPr="0092733A">
              <w:t>199</w:t>
            </w:r>
            <w:r w:rsidR="00C127A8">
              <w:t>2</w:t>
            </w:r>
            <w:r w:rsidRPr="0092733A">
              <w:t>—1996</w:t>
            </w:r>
          </w:p>
        </w:tc>
      </w:tr>
      <w:tr w:rsidR="00032C66" w:rsidRPr="0092733A" w:rsidTr="006A50FF">
        <w:trPr>
          <w:cantSplit/>
        </w:trPr>
        <w:tc>
          <w:tcPr>
            <w:tcW w:w="3060" w:type="dxa"/>
          </w:tcPr>
          <w:p w:rsidR="00603726" w:rsidRPr="0092733A" w:rsidRDefault="00603726" w:rsidP="00032C66">
            <w:pPr>
              <w:pStyle w:val="CVHeading3"/>
            </w:pPr>
            <w:r w:rsidRPr="0092733A">
              <w:t>Calificarea / diploma obţinută</w:t>
            </w:r>
          </w:p>
        </w:tc>
        <w:tc>
          <w:tcPr>
            <w:tcW w:w="7712" w:type="dxa"/>
            <w:gridSpan w:val="11"/>
          </w:tcPr>
          <w:p w:rsidR="00603726" w:rsidRPr="0092733A" w:rsidRDefault="00603726" w:rsidP="00032C66">
            <w:pPr>
              <w:pStyle w:val="CVNormal"/>
              <w:snapToGrid w:val="0"/>
            </w:pPr>
            <w:r w:rsidRPr="0092733A">
              <w:t>Licențiat în Filologie</w:t>
            </w:r>
          </w:p>
        </w:tc>
      </w:tr>
      <w:tr w:rsidR="00032C66" w:rsidRPr="006A50FF" w:rsidTr="006A50FF">
        <w:trPr>
          <w:cantSplit/>
        </w:trPr>
        <w:tc>
          <w:tcPr>
            <w:tcW w:w="3060" w:type="dxa"/>
          </w:tcPr>
          <w:p w:rsidR="00603726" w:rsidRPr="006A50FF" w:rsidRDefault="00603726" w:rsidP="00032C66">
            <w:pPr>
              <w:pStyle w:val="CVHeading3"/>
            </w:pPr>
            <w:r w:rsidRPr="006A50FF">
              <w:t>Disciplinele principale studiate / competenţe profesionale dobândite</w:t>
            </w:r>
          </w:p>
        </w:tc>
        <w:tc>
          <w:tcPr>
            <w:tcW w:w="7712" w:type="dxa"/>
            <w:gridSpan w:val="11"/>
          </w:tcPr>
          <w:p w:rsidR="00603726" w:rsidRPr="006A50FF" w:rsidRDefault="00603726" w:rsidP="00A26EF1">
            <w:pPr>
              <w:pStyle w:val="CVNormal"/>
              <w:snapToGrid w:val="0"/>
            </w:pPr>
            <w:r w:rsidRPr="006A50FF">
              <w:t xml:space="preserve">Limba și literatura maghiară și </w:t>
            </w:r>
            <w:r w:rsidR="00C127A8" w:rsidRPr="006A50FF">
              <w:t>etnografie</w:t>
            </w:r>
            <w:r w:rsidRPr="006A50FF">
              <w:t xml:space="preserve">, Teorii ale culturii, </w:t>
            </w:r>
            <w:r w:rsidR="00C127A8" w:rsidRPr="006A50FF">
              <w:t>antropologie culturală</w:t>
            </w:r>
            <w:r w:rsidR="00A26EF1">
              <w:t>, Sociologie</w:t>
            </w:r>
            <w:r w:rsidRPr="006A50FF">
              <w:t xml:space="preserve"> 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Default="00C127A8" w:rsidP="00C127A8">
            <w:pPr>
              <w:pStyle w:val="CVHeading3"/>
            </w:pPr>
            <w:r w:rsidRPr="0092733A">
              <w:t>Numele şi tipul instituţiei de învăţământ / furnizorului de formare</w:t>
            </w:r>
          </w:p>
          <w:p w:rsidR="00C127A8" w:rsidRDefault="00C127A8" w:rsidP="00A903BD">
            <w:pPr>
              <w:pStyle w:val="CVHeading3-FirstLine"/>
              <w:spacing w:before="0"/>
            </w:pPr>
          </w:p>
          <w:p w:rsidR="00C127A8" w:rsidRDefault="00C127A8" w:rsidP="00A903BD">
            <w:pPr>
              <w:pStyle w:val="CVHeading3-FirstLine"/>
              <w:spacing w:before="0"/>
            </w:pPr>
          </w:p>
          <w:p w:rsidR="00C127A8" w:rsidRDefault="00C127A8" w:rsidP="00A903BD">
            <w:pPr>
              <w:pStyle w:val="CVHeading3-FirstLine"/>
              <w:spacing w:before="0"/>
            </w:pPr>
          </w:p>
          <w:p w:rsidR="00C127A8" w:rsidRPr="0092733A" w:rsidRDefault="00C127A8" w:rsidP="00A903BD">
            <w:pPr>
              <w:pStyle w:val="CVHeading3-FirstLine"/>
              <w:spacing w:before="0"/>
            </w:pPr>
          </w:p>
        </w:tc>
        <w:tc>
          <w:tcPr>
            <w:tcW w:w="7712" w:type="dxa"/>
            <w:gridSpan w:val="11"/>
          </w:tcPr>
          <w:p w:rsidR="00C127A8" w:rsidRPr="0092733A" w:rsidRDefault="00C127A8" w:rsidP="00C127A8">
            <w:pPr>
              <w:pStyle w:val="CVNormal"/>
              <w:snapToGrid w:val="0"/>
              <w:ind w:left="0"/>
            </w:pPr>
            <w:r>
              <w:t xml:space="preserve"> </w:t>
            </w:r>
            <w:r w:rsidRPr="0092733A">
              <w:t>Universitatea Babeș—Bolyai, Cluj Napoca</w:t>
            </w:r>
          </w:p>
          <w:p w:rsidR="00C127A8" w:rsidRDefault="00C127A8" w:rsidP="00603726">
            <w:pPr>
              <w:pStyle w:val="CVNormal"/>
              <w:snapToGrid w:val="0"/>
            </w:pPr>
            <w:r w:rsidRPr="0092733A">
              <w:t>Facultatea de Litere</w:t>
            </w:r>
          </w:p>
          <w:p w:rsidR="00C127A8" w:rsidRDefault="00C127A8" w:rsidP="00603726">
            <w:pPr>
              <w:pStyle w:val="CVNormal"/>
              <w:snapToGrid w:val="0"/>
            </w:pPr>
          </w:p>
          <w:p w:rsidR="00C127A8" w:rsidRPr="0092733A" w:rsidRDefault="00C127A8" w:rsidP="00603726">
            <w:pPr>
              <w:pStyle w:val="CVNormal"/>
              <w:snapToGrid w:val="0"/>
            </w:pPr>
          </w:p>
        </w:tc>
      </w:tr>
      <w:tr w:rsidR="006A50FF" w:rsidRPr="0092733A" w:rsidTr="00A903BD">
        <w:trPr>
          <w:cantSplit/>
        </w:trPr>
        <w:tc>
          <w:tcPr>
            <w:tcW w:w="3060" w:type="dxa"/>
          </w:tcPr>
          <w:p w:rsidR="006A50FF" w:rsidRDefault="006A50FF" w:rsidP="00A903BD">
            <w:pPr>
              <w:pStyle w:val="CVHeading3-FirstLine"/>
              <w:spacing w:before="0"/>
              <w:ind w:left="0"/>
              <w:jc w:val="left"/>
            </w:pPr>
            <w:r>
              <w:t xml:space="preserve">                                                                   </w:t>
            </w:r>
          </w:p>
          <w:p w:rsidR="006A50FF" w:rsidRPr="0092733A" w:rsidRDefault="006A50FF" w:rsidP="00A903BD">
            <w:pPr>
              <w:pStyle w:val="CVHeading3-FirstLine"/>
              <w:spacing w:before="0"/>
              <w:ind w:left="0"/>
              <w:jc w:val="left"/>
            </w:pPr>
            <w:r>
              <w:t xml:space="preserve">                                                  </w:t>
            </w:r>
            <w:r w:rsidRPr="0092733A">
              <w:t>Perioada</w:t>
            </w:r>
          </w:p>
        </w:tc>
        <w:tc>
          <w:tcPr>
            <w:tcW w:w="7712" w:type="dxa"/>
            <w:gridSpan w:val="11"/>
          </w:tcPr>
          <w:p w:rsidR="006A50FF" w:rsidRDefault="006A50FF" w:rsidP="00A903BD">
            <w:pPr>
              <w:pStyle w:val="CVNormal"/>
              <w:snapToGrid w:val="0"/>
            </w:pPr>
          </w:p>
          <w:p w:rsidR="006A50FF" w:rsidRPr="0092733A" w:rsidRDefault="006A50FF" w:rsidP="006A50FF">
            <w:pPr>
              <w:pStyle w:val="CVNormal"/>
              <w:snapToGrid w:val="0"/>
            </w:pPr>
            <w:r w:rsidRPr="0092733A">
              <w:t>19</w:t>
            </w:r>
            <w:r>
              <w:t>85</w:t>
            </w:r>
            <w:r w:rsidRPr="0092733A">
              <w:t>—19</w:t>
            </w:r>
            <w:r>
              <w:t>89</w:t>
            </w:r>
          </w:p>
        </w:tc>
      </w:tr>
      <w:tr w:rsidR="006A50FF" w:rsidRPr="0092733A" w:rsidTr="00A903BD">
        <w:trPr>
          <w:cantSplit/>
        </w:trPr>
        <w:tc>
          <w:tcPr>
            <w:tcW w:w="3060" w:type="dxa"/>
          </w:tcPr>
          <w:p w:rsidR="006A50FF" w:rsidRPr="0092733A" w:rsidRDefault="006A50FF" w:rsidP="00A903BD">
            <w:pPr>
              <w:pStyle w:val="CVHeading3"/>
            </w:pPr>
            <w:r w:rsidRPr="0092733A">
              <w:t>Calificarea / diploma obţinută</w:t>
            </w:r>
          </w:p>
        </w:tc>
        <w:tc>
          <w:tcPr>
            <w:tcW w:w="7712" w:type="dxa"/>
            <w:gridSpan w:val="11"/>
          </w:tcPr>
          <w:p w:rsidR="006A50FF" w:rsidRPr="0092733A" w:rsidRDefault="006A50FF" w:rsidP="00A903BD">
            <w:pPr>
              <w:pStyle w:val="CVNormal"/>
              <w:snapToGrid w:val="0"/>
            </w:pPr>
            <w:r w:rsidRPr="0092733A">
              <w:t>Licențiat în Filologie</w:t>
            </w:r>
          </w:p>
        </w:tc>
      </w:tr>
      <w:tr w:rsidR="006A50FF" w:rsidRPr="006A50FF" w:rsidTr="00A903BD">
        <w:trPr>
          <w:cantSplit/>
        </w:trPr>
        <w:tc>
          <w:tcPr>
            <w:tcW w:w="3060" w:type="dxa"/>
          </w:tcPr>
          <w:p w:rsidR="006A50FF" w:rsidRPr="006A50FF" w:rsidRDefault="006A50FF" w:rsidP="00A903BD">
            <w:pPr>
              <w:pStyle w:val="CVHeading3"/>
            </w:pPr>
            <w:r w:rsidRPr="006A50FF">
              <w:lastRenderedPageBreak/>
              <w:t>Disciplinele principale studiate / competenţe profesionale dobândite</w:t>
            </w:r>
          </w:p>
        </w:tc>
        <w:tc>
          <w:tcPr>
            <w:tcW w:w="7712" w:type="dxa"/>
            <w:gridSpan w:val="11"/>
          </w:tcPr>
          <w:p w:rsidR="006A50FF" w:rsidRPr="006A50FF" w:rsidRDefault="006A50FF" w:rsidP="00A26EF1">
            <w:pPr>
              <w:pStyle w:val="CVNormal"/>
              <w:snapToGrid w:val="0"/>
            </w:pPr>
            <w:r w:rsidRPr="006A50FF">
              <w:t xml:space="preserve">Limba și literatura </w:t>
            </w:r>
            <w:r>
              <w:t>engleză și limba și literatura română</w:t>
            </w:r>
            <w:r w:rsidR="00A26EF1">
              <w:t xml:space="preserve">, </w:t>
            </w:r>
            <w:r w:rsidR="00A26EF1" w:rsidRPr="006A50FF">
              <w:t>Istoria literaturii universale</w:t>
            </w:r>
            <w:r w:rsidR="00A26EF1">
              <w:t>, lingvistică generală</w:t>
            </w:r>
          </w:p>
        </w:tc>
      </w:tr>
      <w:tr w:rsidR="006A50FF" w:rsidRPr="0092733A" w:rsidTr="00A903BD">
        <w:trPr>
          <w:cantSplit/>
        </w:trPr>
        <w:tc>
          <w:tcPr>
            <w:tcW w:w="3060" w:type="dxa"/>
          </w:tcPr>
          <w:p w:rsidR="006A50FF" w:rsidRDefault="006A50FF" w:rsidP="00A903BD">
            <w:pPr>
              <w:pStyle w:val="CVHeading3"/>
            </w:pPr>
            <w:r w:rsidRPr="0092733A">
              <w:t>Numele şi tipul instituţiei de învăţământ / furnizorului de formare</w:t>
            </w:r>
          </w:p>
          <w:p w:rsidR="006A50FF" w:rsidRDefault="006A50FF" w:rsidP="00A903BD">
            <w:pPr>
              <w:pStyle w:val="CVHeading3-FirstLine"/>
              <w:spacing w:before="0"/>
            </w:pPr>
          </w:p>
          <w:p w:rsidR="006A50FF" w:rsidRDefault="006A50FF" w:rsidP="00A903BD">
            <w:pPr>
              <w:pStyle w:val="CVHeading3-FirstLine"/>
              <w:spacing w:before="0"/>
            </w:pPr>
          </w:p>
          <w:p w:rsidR="006A50FF" w:rsidRDefault="006A50FF" w:rsidP="00A903BD">
            <w:pPr>
              <w:pStyle w:val="CVHeading3-FirstLine"/>
              <w:spacing w:before="0"/>
            </w:pPr>
          </w:p>
          <w:p w:rsidR="006A50FF" w:rsidRPr="0092733A" w:rsidRDefault="006A50FF" w:rsidP="00A903BD">
            <w:pPr>
              <w:pStyle w:val="CVHeading3-FirstLine"/>
              <w:spacing w:before="0"/>
            </w:pPr>
          </w:p>
        </w:tc>
        <w:tc>
          <w:tcPr>
            <w:tcW w:w="7712" w:type="dxa"/>
            <w:gridSpan w:val="11"/>
          </w:tcPr>
          <w:p w:rsidR="006A50FF" w:rsidRPr="0092733A" w:rsidRDefault="006A50FF" w:rsidP="00A903BD">
            <w:pPr>
              <w:pStyle w:val="CVNormal"/>
              <w:snapToGrid w:val="0"/>
              <w:ind w:left="0"/>
            </w:pPr>
            <w:r>
              <w:t xml:space="preserve"> </w:t>
            </w:r>
            <w:r w:rsidRPr="0092733A">
              <w:t>Universitatea Babeș—Bolyai, Cluj Napoca</w:t>
            </w:r>
          </w:p>
          <w:p w:rsidR="006A50FF" w:rsidRDefault="006A50FF" w:rsidP="00A903BD">
            <w:pPr>
              <w:pStyle w:val="CVNormal"/>
              <w:snapToGrid w:val="0"/>
            </w:pPr>
            <w:r w:rsidRPr="0092733A">
              <w:t>Facultatea de Litere</w:t>
            </w:r>
          </w:p>
          <w:p w:rsidR="006A50FF" w:rsidRDefault="006A50FF" w:rsidP="00A903BD">
            <w:pPr>
              <w:pStyle w:val="CVNormal"/>
              <w:snapToGrid w:val="0"/>
            </w:pPr>
          </w:p>
          <w:p w:rsidR="006A50FF" w:rsidRPr="0092733A" w:rsidRDefault="006A50FF" w:rsidP="00A903BD">
            <w:pPr>
              <w:pStyle w:val="CVNormal"/>
              <w:snapToGrid w:val="0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 w:rsidP="00A903BD">
            <w:pPr>
              <w:pStyle w:val="CVHeading3"/>
            </w:pPr>
          </w:p>
        </w:tc>
        <w:tc>
          <w:tcPr>
            <w:tcW w:w="7712" w:type="dxa"/>
            <w:gridSpan w:val="11"/>
          </w:tcPr>
          <w:p w:rsidR="00C127A8" w:rsidRPr="0092733A" w:rsidRDefault="006A50FF" w:rsidP="00032C66">
            <w:pPr>
              <w:pStyle w:val="CVSpacer"/>
            </w:pPr>
            <w:r>
              <w:t>11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 w:rsidP="00A903BD">
            <w:pPr>
              <w:pStyle w:val="CVHeading3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Normal-FirstLine"/>
              <w:spacing w:before="0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C127A8" w:rsidRDefault="00C127A8" w:rsidP="00C127A8"/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2-FirstLine"/>
              <w:spacing w:before="0"/>
            </w:pPr>
            <w:r w:rsidRPr="0092733A">
              <w:t>Limba(i) maternă(e)</w:t>
            </w: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Medium-FirstLine"/>
              <w:spacing w:before="0"/>
              <w:rPr>
                <w:b w:val="0"/>
                <w:sz w:val="20"/>
              </w:rPr>
            </w:pPr>
            <w:r w:rsidRPr="0092733A">
              <w:rPr>
                <w:sz w:val="20"/>
              </w:rPr>
              <w:t>maghiară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2-FirstLine"/>
              <w:spacing w:before="0"/>
              <w:rPr>
                <w:szCs w:val="22"/>
              </w:rPr>
            </w:pPr>
            <w:r w:rsidRPr="0092733A">
              <w:t xml:space="preserve">Limba(i) străină(e) </w:t>
            </w:r>
            <w:r w:rsidRPr="0092733A">
              <w:rPr>
                <w:szCs w:val="22"/>
              </w:rPr>
              <w:t>cunoscută(e)</w:t>
            </w: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Medium-FirstLine"/>
              <w:spacing w:before="0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2"/>
            </w:pPr>
            <w:r w:rsidRPr="0092733A">
              <w:t>Autoevaluare</w:t>
            </w:r>
          </w:p>
        </w:tc>
        <w:tc>
          <w:tcPr>
            <w:tcW w:w="196" w:type="dxa"/>
          </w:tcPr>
          <w:p w:rsidR="00C127A8" w:rsidRPr="0092733A" w:rsidRDefault="00C127A8">
            <w:pPr>
              <w:pStyle w:val="CVNormal"/>
            </w:pPr>
          </w:p>
        </w:tc>
        <w:tc>
          <w:tcPr>
            <w:tcW w:w="3004" w:type="dxa"/>
            <w:gridSpan w:val="4"/>
          </w:tcPr>
          <w:p w:rsidR="00C127A8" w:rsidRPr="0092733A" w:rsidRDefault="00C127A8">
            <w:pPr>
              <w:pStyle w:val="LevelAssessment-Heading1"/>
            </w:pPr>
            <w:r w:rsidRPr="0092733A">
              <w:t>Înţelegere</w:t>
            </w:r>
          </w:p>
        </w:tc>
        <w:tc>
          <w:tcPr>
            <w:tcW w:w="3013" w:type="dxa"/>
            <w:gridSpan w:val="4"/>
          </w:tcPr>
          <w:p w:rsidR="00C127A8" w:rsidRPr="0092733A" w:rsidRDefault="00C127A8">
            <w:pPr>
              <w:pStyle w:val="LevelAssessment-Heading1"/>
            </w:pPr>
            <w:r w:rsidRPr="0092733A">
              <w:t>Vorbire</w:t>
            </w:r>
          </w:p>
        </w:tc>
        <w:tc>
          <w:tcPr>
            <w:tcW w:w="1499" w:type="dxa"/>
            <w:gridSpan w:val="2"/>
          </w:tcPr>
          <w:p w:rsidR="00C127A8" w:rsidRPr="0092733A" w:rsidRDefault="00C127A8">
            <w:pPr>
              <w:pStyle w:val="LevelAssessment-Heading1"/>
            </w:pPr>
            <w:r w:rsidRPr="0092733A">
              <w:t>Scriere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Level"/>
            </w:pPr>
            <w:r w:rsidRPr="0092733A">
              <w:t>Nivel european (*)</w:t>
            </w:r>
          </w:p>
        </w:tc>
        <w:tc>
          <w:tcPr>
            <w:tcW w:w="196" w:type="dxa"/>
          </w:tcPr>
          <w:p w:rsidR="00C127A8" w:rsidRPr="0092733A" w:rsidRDefault="00C127A8">
            <w:pPr>
              <w:pStyle w:val="CVNormal"/>
            </w:pPr>
          </w:p>
        </w:tc>
        <w:tc>
          <w:tcPr>
            <w:tcW w:w="1501" w:type="dxa"/>
            <w:gridSpan w:val="2"/>
          </w:tcPr>
          <w:p w:rsidR="00C127A8" w:rsidRPr="0092733A" w:rsidRDefault="00C127A8">
            <w:pPr>
              <w:pStyle w:val="LevelAssessment-Heading2"/>
              <w:rPr>
                <w:szCs w:val="18"/>
                <w:lang w:val="ro-RO"/>
              </w:rPr>
            </w:pPr>
            <w:r w:rsidRPr="0092733A"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2"/>
          </w:tcPr>
          <w:p w:rsidR="00C127A8" w:rsidRPr="0092733A" w:rsidRDefault="00C127A8">
            <w:pPr>
              <w:pStyle w:val="LevelAssessment-Heading2"/>
              <w:rPr>
                <w:szCs w:val="18"/>
                <w:lang w:val="ro-RO"/>
              </w:rPr>
            </w:pPr>
            <w:r w:rsidRPr="0092733A"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</w:tcPr>
          <w:p w:rsidR="00C127A8" w:rsidRPr="0092733A" w:rsidRDefault="00C127A8">
            <w:pPr>
              <w:pStyle w:val="LevelAssessment-Heading2"/>
              <w:rPr>
                <w:lang w:val="ro-RO"/>
              </w:rPr>
            </w:pPr>
            <w:r w:rsidRPr="0092733A"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2"/>
          </w:tcPr>
          <w:p w:rsidR="00C127A8" w:rsidRPr="0092733A" w:rsidRDefault="00C127A8">
            <w:pPr>
              <w:pStyle w:val="LevelAssessment-Heading2"/>
              <w:rPr>
                <w:szCs w:val="18"/>
                <w:lang w:val="ro-RO"/>
              </w:rPr>
            </w:pPr>
            <w:r w:rsidRPr="0092733A"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</w:tcPr>
          <w:p w:rsidR="00C127A8" w:rsidRPr="0092733A" w:rsidRDefault="00C127A8">
            <w:pPr>
              <w:pStyle w:val="BodyText"/>
              <w:spacing w:after="0"/>
              <w:jc w:val="center"/>
              <w:rPr>
                <w:sz w:val="18"/>
              </w:rPr>
            </w:pPr>
            <w:r w:rsidRPr="0092733A">
              <w:rPr>
                <w:sz w:val="18"/>
              </w:rPr>
              <w:t>Exprimare scrisă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Language"/>
            </w:pPr>
            <w:r w:rsidRPr="0092733A">
              <w:t>Română</w:t>
            </w:r>
          </w:p>
        </w:tc>
        <w:tc>
          <w:tcPr>
            <w:tcW w:w="196" w:type="dxa"/>
          </w:tcPr>
          <w:p w:rsidR="00C127A8" w:rsidRPr="0092733A" w:rsidRDefault="00C127A8">
            <w:pPr>
              <w:pStyle w:val="CVNormal"/>
            </w:pPr>
          </w:p>
        </w:tc>
        <w:tc>
          <w:tcPr>
            <w:tcW w:w="281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0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9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4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6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3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7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37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63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36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Language"/>
            </w:pPr>
            <w:r w:rsidRPr="0092733A">
              <w:t>Engleză</w:t>
            </w:r>
          </w:p>
        </w:tc>
        <w:tc>
          <w:tcPr>
            <w:tcW w:w="196" w:type="dxa"/>
          </w:tcPr>
          <w:p w:rsidR="00C127A8" w:rsidRPr="0092733A" w:rsidRDefault="00C127A8">
            <w:pPr>
              <w:pStyle w:val="CVNormal"/>
            </w:pPr>
          </w:p>
        </w:tc>
        <w:tc>
          <w:tcPr>
            <w:tcW w:w="281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0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9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4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6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23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77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37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  <w:tc>
          <w:tcPr>
            <w:tcW w:w="263" w:type="dxa"/>
            <w:vAlign w:val="center"/>
          </w:tcPr>
          <w:p w:rsidR="00C127A8" w:rsidRPr="0092733A" w:rsidRDefault="00C127A8" w:rsidP="00032C66">
            <w:pPr>
              <w:pStyle w:val="LevelAssessment-Code"/>
              <w:snapToGrid w:val="0"/>
            </w:pPr>
            <w:r w:rsidRPr="0092733A">
              <w:t>C2</w:t>
            </w:r>
          </w:p>
        </w:tc>
        <w:tc>
          <w:tcPr>
            <w:tcW w:w="1236" w:type="dxa"/>
            <w:vAlign w:val="center"/>
          </w:tcPr>
          <w:p w:rsidR="00C127A8" w:rsidRPr="0092733A" w:rsidRDefault="00C127A8" w:rsidP="00032C66">
            <w:pPr>
              <w:pStyle w:val="LevelAssessment-Description"/>
              <w:snapToGrid w:val="0"/>
            </w:pPr>
            <w:r w:rsidRPr="0092733A">
              <w:t>Utilizator experimentat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Normal"/>
            </w:pPr>
          </w:p>
        </w:tc>
        <w:tc>
          <w:tcPr>
            <w:tcW w:w="7712" w:type="dxa"/>
            <w:gridSpan w:val="11"/>
            <w:tcMar>
              <w:top w:w="0" w:type="dxa"/>
              <w:bottom w:w="113" w:type="dxa"/>
            </w:tcMar>
          </w:tcPr>
          <w:p w:rsidR="00C127A8" w:rsidRPr="0092733A" w:rsidRDefault="00C127A8">
            <w:pPr>
              <w:pStyle w:val="LevelAssessment-Note"/>
            </w:pPr>
            <w:r w:rsidRPr="0092733A">
              <w:t xml:space="preserve">(*) </w:t>
            </w:r>
            <w:hyperlink r:id="rId10" w:history="1">
              <w:r w:rsidRPr="0092733A">
                <w:rPr>
                  <w:rStyle w:val="Hyperlink"/>
                </w:rPr>
                <w:t>Nivelul Cadrului European Comun de Referinţă Pentru Limbi Străine</w:t>
              </w:r>
            </w:hyperlink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2-FirstLine"/>
              <w:spacing w:before="0"/>
            </w:pPr>
            <w:r w:rsidRPr="0092733A">
              <w:t>Competenţe şi abilităţi sociale</w:t>
            </w:r>
          </w:p>
        </w:tc>
        <w:tc>
          <w:tcPr>
            <w:tcW w:w="7712" w:type="dxa"/>
            <w:gridSpan w:val="11"/>
          </w:tcPr>
          <w:p w:rsidR="00C127A8" w:rsidRPr="0092733A" w:rsidRDefault="00C127A8" w:rsidP="00032C66">
            <w:pPr>
              <w:pStyle w:val="CVNormal"/>
            </w:pPr>
            <w:r w:rsidRPr="0092733A">
              <w:t>Capacitatea de a interacționa și de a lucra în echipă.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2-FirstLine"/>
              <w:spacing w:before="0"/>
            </w:pPr>
            <w:r w:rsidRPr="0092733A">
              <w:t>Competenţe şi aptitudini organizatorice</w:t>
            </w: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Normal"/>
            </w:pPr>
            <w:r w:rsidRPr="0092733A">
              <w:t>Lucru în echipă, organizare de conferințe.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2-FirstLine"/>
              <w:spacing w:before="0"/>
            </w:pPr>
            <w:r w:rsidRPr="0092733A">
              <w:t>Competenţe şi aptitudini tehnice</w:t>
            </w:r>
          </w:p>
        </w:tc>
        <w:tc>
          <w:tcPr>
            <w:tcW w:w="7712" w:type="dxa"/>
            <w:gridSpan w:val="11"/>
          </w:tcPr>
          <w:p w:rsidR="00C127A8" w:rsidRPr="0092733A" w:rsidRDefault="00C127A8" w:rsidP="007C36AA">
            <w:pPr>
              <w:pStyle w:val="CVNormal"/>
            </w:pPr>
            <w:r w:rsidRPr="0092733A">
              <w:t xml:space="preserve">Design al cercetării, metode de cercetare în științele sociale, </w:t>
            </w:r>
            <w:r w:rsidR="00196EB4">
              <w:t>conducere</w:t>
            </w:r>
            <w:r w:rsidRPr="0092733A">
              <w:t xml:space="preserve"> de echipe de cercetare, monitorizarea cercetării.</w:t>
            </w:r>
          </w:p>
          <w:p w:rsidR="00C127A8" w:rsidRPr="0092733A" w:rsidRDefault="00C127A8" w:rsidP="000D0949">
            <w:pPr>
              <w:pStyle w:val="CVNormal"/>
            </w:pPr>
            <w:r w:rsidRPr="0092733A">
              <w:t>Competențele au fost dobândite în cadrul cursurilor de specialitate urmate cadrul programelor de masterat şi doctorat, precum și în cadrul cursurilor și seminariilor predate</w:t>
            </w:r>
            <w:r w:rsidR="00196EB4">
              <w:t xml:space="preserve"> sau în timpul activității de cercetare</w:t>
            </w:r>
            <w:r w:rsidRPr="0092733A">
              <w:t>.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2-FirstLine"/>
              <w:spacing w:before="0"/>
            </w:pPr>
            <w:r w:rsidRPr="0092733A">
              <w:t>Competenţe şi aptitudini de utilizare a calculatorului</w:t>
            </w:r>
          </w:p>
        </w:tc>
        <w:tc>
          <w:tcPr>
            <w:tcW w:w="7712" w:type="dxa"/>
            <w:gridSpan w:val="11"/>
          </w:tcPr>
          <w:p w:rsidR="00C127A8" w:rsidRPr="0092733A" w:rsidRDefault="00C127A8" w:rsidP="00032C66">
            <w:pPr>
              <w:pStyle w:val="CVNormal-FirstLine"/>
              <w:snapToGrid w:val="0"/>
              <w:spacing w:before="0"/>
            </w:pPr>
            <w:r w:rsidRPr="0092733A">
              <w:t>Am cunoştine de operare avansată în următoarele medii:</w:t>
            </w:r>
          </w:p>
          <w:p w:rsidR="00C127A8" w:rsidRPr="0092733A" w:rsidRDefault="00C127A8" w:rsidP="00196EB4">
            <w:pPr>
              <w:pStyle w:val="CVNormal-FirstLine"/>
              <w:numPr>
                <w:ilvl w:val="0"/>
                <w:numId w:val="1"/>
              </w:numPr>
              <w:tabs>
                <w:tab w:val="left" w:pos="885"/>
              </w:tabs>
              <w:spacing w:before="0"/>
            </w:pPr>
            <w:r w:rsidRPr="0092733A">
              <w:t>MS Of</w:t>
            </w:r>
            <w:r w:rsidR="00196EB4">
              <w:t>fice (Word, Excel, Power Point)</w:t>
            </w:r>
            <w:r w:rsidRPr="0092733A">
              <w:t xml:space="preserve">. 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Heading2-FirstLine"/>
              <w:spacing w:before="0"/>
            </w:pPr>
            <w:r w:rsidRPr="0092733A">
              <w:t>Permis(e) de conducere</w:t>
            </w: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Normal"/>
            </w:pPr>
            <w:r w:rsidRPr="0092733A">
              <w:t>Categoria B</w:t>
            </w: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B366C5" w:rsidRDefault="00C127A8">
            <w:pPr>
              <w:pStyle w:val="CVHeading1"/>
              <w:spacing w:before="0"/>
              <w:rPr>
                <w:lang w:val="en-US"/>
              </w:rPr>
            </w:pPr>
            <w:r w:rsidRPr="00B366C5">
              <w:rPr>
                <w:lang w:val="en-US"/>
              </w:rPr>
              <w:lastRenderedPageBreak/>
              <w:t>Publicații</w:t>
            </w:r>
          </w:p>
        </w:tc>
        <w:tc>
          <w:tcPr>
            <w:tcW w:w="7712" w:type="dxa"/>
            <w:gridSpan w:val="11"/>
          </w:tcPr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“Jelenítés - Az értékképviselet kényszere színházi kultúránkban,” ['Representation'. Essay on The Value-Conception of Hungarian  Minority Theatre in Romania] </w:t>
            </w:r>
            <w:r w:rsidRPr="00B366C5">
              <w:rPr>
                <w:i/>
                <w:sz w:val="22"/>
                <w:lang w:val="en-US"/>
              </w:rPr>
              <w:t>Korunk</w:t>
            </w:r>
            <w:r w:rsidRPr="00B366C5">
              <w:rPr>
                <w:sz w:val="22"/>
                <w:lang w:val="en-US"/>
              </w:rPr>
              <w:t xml:space="preserve"> (Cluj-Napoca) November 1992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“Versfogyatkozás,” [Eclipse of Poetry]. </w:t>
            </w:r>
            <w:r w:rsidRPr="00B366C5">
              <w:rPr>
                <w:i/>
                <w:sz w:val="22"/>
                <w:lang w:val="en-US"/>
              </w:rPr>
              <w:t>Sodrás</w:t>
            </w:r>
            <w:r w:rsidRPr="00B366C5">
              <w:rPr>
                <w:sz w:val="22"/>
                <w:lang w:val="en-US"/>
              </w:rPr>
              <w:t>, (Békéscsaba) II, 1 (1993);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“Versfogyatkozás,” </w:t>
            </w:r>
            <w:r w:rsidRPr="00B366C5">
              <w:rPr>
                <w:i/>
                <w:sz w:val="22"/>
                <w:lang w:val="en-US"/>
              </w:rPr>
              <w:t>Korunk</w:t>
            </w:r>
            <w:r w:rsidRPr="00B366C5">
              <w:rPr>
                <w:sz w:val="22"/>
                <w:lang w:val="en-US"/>
              </w:rPr>
              <w:t xml:space="preserve"> (Cluj-Napoca), June 1993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“Egy belehelyezkedési játszma módszertani tanulságai,” [Methodological Conclusions of On-Site Interaction], In Romsics Imre (ed.), </w:t>
            </w:r>
            <w:r w:rsidRPr="00B366C5">
              <w:rPr>
                <w:i/>
                <w:sz w:val="22"/>
                <w:lang w:val="en-US"/>
              </w:rPr>
              <w:t xml:space="preserve">A másik ember </w:t>
            </w:r>
            <w:r w:rsidRPr="00B366C5">
              <w:rPr>
                <w:sz w:val="22"/>
                <w:lang w:val="en-US"/>
              </w:rPr>
              <w:t>[The Other Person] Kalocsa (Hungary), 1994.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>“Néprajzi terepmunka antropológiai tanulságokkal,” [Ethnographic Fieldwork</w:t>
            </w:r>
            <w:r w:rsidRPr="00B366C5">
              <w:rPr>
                <w:sz w:val="22"/>
                <w:lang w:val="en-US"/>
              </w:rPr>
              <w:sym w:font="Times New Roman" w:char="2014"/>
            </w:r>
            <w:r w:rsidRPr="00B366C5">
              <w:rPr>
                <w:sz w:val="22"/>
                <w:lang w:val="en-US"/>
              </w:rPr>
              <w:t xml:space="preserve">Anthropological Experience], </w:t>
            </w:r>
            <w:r w:rsidRPr="00B366C5">
              <w:rPr>
                <w:i/>
                <w:sz w:val="22"/>
                <w:lang w:val="en-US"/>
              </w:rPr>
              <w:t>Néprajzi látóhatár</w:t>
            </w:r>
            <w:r w:rsidRPr="00B366C5">
              <w:rPr>
                <w:sz w:val="22"/>
                <w:lang w:val="en-US"/>
              </w:rPr>
              <w:t xml:space="preserve"> (Debrecen), 3-4 (1995).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“Non Scholae, Sed Vitae ...,” [Essay on Current Issues of Minority Education in Romania"]. </w:t>
            </w:r>
            <w:r w:rsidRPr="00B366C5">
              <w:rPr>
                <w:i/>
                <w:sz w:val="22"/>
                <w:lang w:val="en-US"/>
              </w:rPr>
              <w:t xml:space="preserve"> Korunk</w:t>
            </w:r>
            <w:r w:rsidRPr="00B366C5">
              <w:rPr>
                <w:sz w:val="22"/>
                <w:lang w:val="en-US"/>
              </w:rPr>
              <w:t xml:space="preserve"> (Cluj-Napoca), September 1996.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“Moldvai csángó diákok erdélyi iskolákban,” [Csángó Students in Transylvanian Schools], </w:t>
            </w:r>
            <w:r w:rsidRPr="00B366C5">
              <w:rPr>
                <w:i/>
                <w:sz w:val="22"/>
                <w:lang w:val="en-US"/>
              </w:rPr>
              <w:t>Regio</w:t>
            </w:r>
            <w:r w:rsidRPr="00B366C5">
              <w:rPr>
                <w:sz w:val="22"/>
                <w:lang w:val="en-US"/>
              </w:rPr>
              <w:t>, (Budapest) 8, 3-4 (1997), 58-79.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“Moldvai csángó fiatalok erdélyi iskolákban,” [Csángó Youths in Transylvanian Schools] In </w:t>
            </w:r>
            <w:r w:rsidRPr="00B366C5">
              <w:rPr>
                <w:i/>
                <w:sz w:val="22"/>
                <w:lang w:val="en-US"/>
              </w:rPr>
              <w:t>Csángósors: Moldvai csángók a változó időben</w:t>
            </w:r>
            <w:r w:rsidRPr="00B366C5">
              <w:rPr>
                <w:sz w:val="22"/>
                <w:lang w:val="en-US"/>
              </w:rPr>
              <w:t xml:space="preserve"> [Fate of the Csángós: Moldavian Csángós in Changing Times], edited by Ferenc Pozsony. Budapest: Teleki László Foundation, 1999.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 ‘Egzotikus Magyarország’—Karácsony Sándor a turizmusról,” ['Exotic Hungary - Sándor Karácsony on Tourism], In </w:t>
            </w:r>
            <w:r w:rsidRPr="00B366C5">
              <w:rPr>
                <w:i/>
                <w:sz w:val="22"/>
                <w:lang w:val="en-US"/>
              </w:rPr>
              <w:t>Turizmus antropológiai szemmel</w:t>
            </w:r>
            <w:r w:rsidRPr="00B366C5">
              <w:rPr>
                <w:sz w:val="22"/>
                <w:lang w:val="en-US"/>
              </w:rPr>
              <w:t>, [Tourism from the Viewpoint of Cultural Anthropology] edited by  Zoltán Fejős and Zoltán Pálfy. Budapest: Magyar Néprajzi Múzeum, 1998.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“Értelmiségi migráció az 1920-as években—Erdélyi magyar egyetemi hallgatók Magyarországon,” [Academic Migration in the 1920s: Transylvanian Hungarian Students in Hungary] In </w:t>
            </w:r>
            <w:r w:rsidRPr="00B366C5">
              <w:rPr>
                <w:i/>
                <w:sz w:val="22"/>
                <w:lang w:val="en-US"/>
              </w:rPr>
              <w:t>Társadalom- és humán tudományok</w:t>
            </w:r>
            <w:r w:rsidRPr="00B366C5">
              <w:rPr>
                <w:sz w:val="22"/>
                <w:lang w:val="en-US"/>
              </w:rPr>
              <w:t xml:space="preserve"> [Social Sciences and Humanities], edited by Valér Veres. Bucharest—Cluj-Napoca: Kriterion, 2001.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“The Dislocated Transylvanian Hungarian Student Body and the Process of Hungarian Nation-Building after 1918,” In </w:t>
            </w:r>
            <w:r w:rsidRPr="00B366C5">
              <w:rPr>
                <w:i/>
                <w:sz w:val="22"/>
                <w:lang w:val="en-US"/>
              </w:rPr>
              <w:t>Nation-building and Contested Identities: Romanian and Hungarian Case-Studies</w:t>
            </w:r>
            <w:r w:rsidRPr="00B366C5">
              <w:rPr>
                <w:sz w:val="22"/>
                <w:lang w:val="en-US"/>
              </w:rPr>
              <w:t>,</w:t>
            </w:r>
            <w:r w:rsidRPr="00B366C5">
              <w:rPr>
                <w:i/>
                <w:sz w:val="22"/>
                <w:lang w:val="en-US"/>
              </w:rPr>
              <w:t xml:space="preserve"> </w:t>
            </w:r>
            <w:r w:rsidRPr="00B366C5">
              <w:rPr>
                <w:sz w:val="22"/>
                <w:lang w:val="en-US"/>
              </w:rPr>
              <w:t>edited by Balázs Trencsényi, Dragoş Petrescu, Cristina Petrescu, Constantin Iordachi, and Zoltán Kántor. Iaşi: Polirom—Budapest: Regio Books, 2001, 179- 196.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“Nemzetállam és felsőoktatási piac: adatok a kolozsvári egyetem diákságának etnikai és társadalmi összetételéről a két világháború között,” [Nation-state and educational market: Data on the ethnic and social structure of the students of the Cluj university in the interwar period] </w:t>
            </w:r>
            <w:r w:rsidRPr="00B366C5">
              <w:rPr>
                <w:i/>
                <w:sz w:val="22"/>
                <w:lang w:val="en-US"/>
              </w:rPr>
              <w:t>Erdélyi Társadalom—Szociológiai szakfolyóirat</w:t>
            </w:r>
            <w:r w:rsidRPr="00B366C5">
              <w:rPr>
                <w:sz w:val="22"/>
                <w:lang w:val="en-US"/>
              </w:rPr>
              <w:t xml:space="preserve"> [Transylvanian Society—Sociological Review] (Cluj-Napoca) 2, 2 (2004), 151-180.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sz w:val="22"/>
                <w:lang w:val="en-US"/>
              </w:rPr>
              <w:t xml:space="preserve">“The Cluj/Kolozsvár University Amidst Wartime Cultural Politics, 1940-1944. An Assessment of Student Recruitment Patterns,” </w:t>
            </w:r>
            <w:r w:rsidRPr="00B366C5">
              <w:rPr>
                <w:i/>
                <w:iCs/>
                <w:sz w:val="22"/>
                <w:lang w:val="en-US"/>
              </w:rPr>
              <w:t>Studia Universitatis Babes-Bolyai Seria Politica</w:t>
            </w:r>
            <w:r w:rsidRPr="00B366C5">
              <w:rPr>
                <w:sz w:val="22"/>
                <w:lang w:val="en-US"/>
              </w:rPr>
              <w:t>, 2005.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lang w:val="en-US"/>
              </w:rPr>
            </w:pPr>
            <w:r w:rsidRPr="00B366C5">
              <w:rPr>
                <w:i/>
                <w:iCs/>
                <w:sz w:val="22"/>
                <w:lang w:val="en-US"/>
              </w:rPr>
              <w:t>National Controversy in the Transylvanian Academe: The Cluj/Kolozsvár University in the First Half of the 20</w:t>
            </w:r>
            <w:r w:rsidRPr="00B366C5">
              <w:rPr>
                <w:i/>
                <w:iCs/>
                <w:sz w:val="22"/>
                <w:vertAlign w:val="superscript"/>
                <w:lang w:val="en-US"/>
              </w:rPr>
              <w:t>th</w:t>
            </w:r>
            <w:r w:rsidRPr="00B366C5">
              <w:rPr>
                <w:i/>
                <w:iCs/>
                <w:sz w:val="22"/>
                <w:lang w:val="en-US"/>
              </w:rPr>
              <w:t xml:space="preserve"> Century.</w:t>
            </w:r>
            <w:r w:rsidRPr="00B366C5">
              <w:rPr>
                <w:sz w:val="22"/>
                <w:lang w:val="en-US"/>
              </w:rPr>
              <w:t xml:space="preserve"> Budapest: Akadémiai Kiadó, 2006.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iCs/>
                <w:sz w:val="22"/>
                <w:lang w:val="en-US"/>
              </w:rPr>
            </w:pPr>
            <w:r w:rsidRPr="00B366C5">
              <w:rPr>
                <w:iCs/>
                <w:sz w:val="22"/>
                <w:lang w:val="en-US"/>
              </w:rPr>
              <w:t xml:space="preserve"> “Ethnically Based Enrollment Patterns at the University of Cluj/Kolozsvár, 1900-1944,” </w:t>
            </w:r>
            <w:r w:rsidRPr="00B366C5">
              <w:rPr>
                <w:i/>
                <w:iCs/>
                <w:sz w:val="22"/>
                <w:lang w:val="en-US"/>
              </w:rPr>
              <w:t>Hungarian Studies</w:t>
            </w:r>
            <w:r w:rsidRPr="00B366C5">
              <w:rPr>
                <w:iCs/>
                <w:sz w:val="22"/>
                <w:lang w:val="en-US"/>
              </w:rPr>
              <w:t xml:space="preserve"> 21 (2007) 1-2, 135-154.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sz w:val="22"/>
                <w:szCs w:val="22"/>
                <w:lang w:val="en-US"/>
              </w:rPr>
            </w:pPr>
            <w:r w:rsidRPr="00B366C5">
              <w:rPr>
                <w:rStyle w:val="Emphasis"/>
                <w:i w:val="0"/>
                <w:sz w:val="22"/>
                <w:szCs w:val="22"/>
                <w:lang w:val="en-US"/>
              </w:rPr>
              <w:t>“Ethno-Confessional Patterns of the Choice of Study-Paths among Transylvanian Students of Law and Medicine (1900-1919)</w:t>
            </w:r>
            <w:r w:rsidRPr="00B366C5">
              <w:rPr>
                <w:sz w:val="22"/>
                <w:szCs w:val="22"/>
                <w:lang w:val="en-US"/>
              </w:rPr>
              <w:t xml:space="preserve">,” In </w:t>
            </w:r>
            <w:r w:rsidRPr="00B366C5">
              <w:rPr>
                <w:i/>
                <w:sz w:val="22"/>
                <w:szCs w:val="22"/>
                <w:lang w:val="en-US"/>
              </w:rPr>
              <w:t>Cultural Dimensions of Elite Formation in Transylvania (1770-1950)</w:t>
            </w:r>
            <w:r w:rsidRPr="00B366C5">
              <w:rPr>
                <w:sz w:val="22"/>
                <w:szCs w:val="22"/>
                <w:lang w:val="en-US"/>
              </w:rPr>
              <w:t>, Ethnocultural Diversity Resource Center, Cluj-Napoca, Editor</w:t>
            </w:r>
            <w:r w:rsidR="00B366C5" w:rsidRPr="00B366C5">
              <w:rPr>
                <w:sz w:val="22"/>
                <w:szCs w:val="22"/>
                <w:lang w:val="en-US"/>
              </w:rPr>
              <w:t>i</w:t>
            </w:r>
            <w:r w:rsidRPr="00B366C5">
              <w:rPr>
                <w:sz w:val="22"/>
                <w:szCs w:val="22"/>
                <w:lang w:val="en-US"/>
              </w:rPr>
              <w:t>: Victor Karády, Borbála Zsuzsanna Török, 2008, P. 36-64.</w:t>
            </w:r>
          </w:p>
          <w:p w:rsidR="00A26EF1" w:rsidRPr="00B366C5" w:rsidRDefault="00A26EF1" w:rsidP="00A26EF1">
            <w:pPr>
              <w:pStyle w:val="List"/>
              <w:jc w:val="both"/>
              <w:rPr>
                <w:iCs/>
                <w:sz w:val="22"/>
                <w:lang w:val="en-US"/>
              </w:rPr>
            </w:pPr>
            <w:r w:rsidRPr="00B366C5">
              <w:rPr>
                <w:rStyle w:val="Emphasis"/>
                <w:i w:val="0"/>
                <w:iCs w:val="0"/>
                <w:sz w:val="22"/>
                <w:lang w:val="en-US"/>
              </w:rPr>
              <w:t>“Cluj Higher Learning in the Early Communist Period: Ethnic Division Reasserted in a Nationalized Market</w:t>
            </w:r>
            <w:r w:rsidRPr="00B366C5">
              <w:rPr>
                <w:i/>
                <w:iCs/>
                <w:sz w:val="22"/>
                <w:lang w:val="en-US"/>
              </w:rPr>
              <w:t>,</w:t>
            </w:r>
            <w:r w:rsidRPr="00B366C5">
              <w:rPr>
                <w:iCs/>
                <w:sz w:val="22"/>
                <w:lang w:val="en-US"/>
              </w:rPr>
              <w:t>”</w:t>
            </w:r>
            <w:r w:rsidRPr="00B366C5">
              <w:rPr>
                <w:i/>
                <w:iCs/>
                <w:sz w:val="22"/>
                <w:lang w:val="en-US"/>
              </w:rPr>
              <w:t xml:space="preserve"> ANUARUL INSTITUTULUI DE ISTORIE GEORGE BARIT DIN CLUJ-NAPOCA SERIES HISTORICA, </w:t>
            </w:r>
            <w:r w:rsidRPr="00B366C5">
              <w:rPr>
                <w:iCs/>
                <w:sz w:val="22"/>
                <w:lang w:val="en-US"/>
              </w:rPr>
              <w:t>Categ CNCSIS B, tom. XLVII, 2008, P.283 – 307.</w:t>
            </w:r>
          </w:p>
          <w:p w:rsidR="00A26EF1" w:rsidRPr="00B366C5" w:rsidRDefault="00A26EF1" w:rsidP="00A26EF1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366C5">
              <w:rPr>
                <w:sz w:val="22"/>
                <w:szCs w:val="22"/>
                <w:lang w:val="en-US"/>
              </w:rPr>
              <w:t>“</w:t>
            </w:r>
            <w:r w:rsidRPr="00B366C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Nationhood Reasserted: Transylvanian Educated Elites before and after the 1918 Change of Sovereignty,” In: </w:t>
            </w:r>
            <w:r w:rsidRPr="00B366C5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Hungary and Romania Beyond National Narratives. Comparisons and Entanglements</w:t>
            </w:r>
            <w:r w:rsidRPr="00B366C5">
              <w:rPr>
                <w:rFonts w:ascii="Times New Roman" w:hAnsi="Times New Roman"/>
                <w:sz w:val="22"/>
                <w:szCs w:val="22"/>
                <w:lang w:val="en-US"/>
              </w:rPr>
              <w:t>, Peter Lang, Oxford–Bern–Berlin–Bruxelles–Frankfurt am Main–New York–Wien, Editori: Anders E. B. Blomqvist, Constantin Iordachi, Balázs Trencsényi, 2013: 321-358.</w:t>
            </w:r>
          </w:p>
          <w:p w:rsidR="00B366C5" w:rsidRPr="00B366C5" w:rsidRDefault="00B366C5" w:rsidP="00A26EF1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Emphasis"/>
                <w:rFonts w:ascii="Times New Roman" w:hAnsi="Times New Roman"/>
                <w:i w:val="0"/>
                <w:sz w:val="22"/>
                <w:szCs w:val="22"/>
                <w:lang w:val="en-US"/>
              </w:rPr>
              <w:t>“</w:t>
            </w:r>
            <w:r w:rsidRPr="00B366C5">
              <w:rPr>
                <w:rStyle w:val="Emphasis"/>
                <w:rFonts w:ascii="Times New Roman" w:hAnsi="Times New Roman"/>
                <w:i w:val="0"/>
                <w:sz w:val="22"/>
                <w:szCs w:val="22"/>
                <w:lang w:val="en-US"/>
              </w:rPr>
              <w:t>A New Middle Class on Old Academic Grounds: Law Students of the Cluj University in the 1930s</w:t>
            </w:r>
            <w:r w:rsidRPr="00B366C5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”</w:t>
            </w:r>
            <w:r w:rsidRPr="00B366C5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STUDIA UNIVERSITATIS BABES BOLYAI. SOCIOLOGIA</w:t>
            </w:r>
            <w:r w:rsidRPr="00B366C5">
              <w:rPr>
                <w:rFonts w:ascii="Times New Roman" w:hAnsi="Times New Roman"/>
                <w:sz w:val="22"/>
                <w:szCs w:val="22"/>
                <w:lang w:val="en-US"/>
              </w:rPr>
              <w:t>, Categ CNCSIS B+, 2015, 1, 5 - 2.</w:t>
            </w:r>
          </w:p>
          <w:p w:rsidR="00C127A8" w:rsidRPr="00B366C5" w:rsidRDefault="00C127A8" w:rsidP="0092733A">
            <w:pPr>
              <w:pStyle w:val="CVNormal"/>
              <w:ind w:left="0" w:right="0"/>
              <w:rPr>
                <w:lang w:val="en-US"/>
              </w:rPr>
            </w:pPr>
          </w:p>
        </w:tc>
      </w:tr>
      <w:tr w:rsidR="00C127A8" w:rsidRPr="0092733A" w:rsidTr="006A50FF">
        <w:trPr>
          <w:cantSplit/>
        </w:trPr>
        <w:tc>
          <w:tcPr>
            <w:tcW w:w="3060" w:type="dxa"/>
          </w:tcPr>
          <w:p w:rsidR="00C127A8" w:rsidRPr="0092733A" w:rsidRDefault="00C127A8">
            <w:pPr>
              <w:pStyle w:val="CVSpacer"/>
            </w:pPr>
          </w:p>
        </w:tc>
        <w:tc>
          <w:tcPr>
            <w:tcW w:w="7712" w:type="dxa"/>
            <w:gridSpan w:val="11"/>
          </w:tcPr>
          <w:p w:rsidR="00C127A8" w:rsidRPr="0092733A" w:rsidRDefault="00C127A8">
            <w:pPr>
              <w:pStyle w:val="CVSpacer"/>
            </w:pPr>
          </w:p>
        </w:tc>
      </w:tr>
      <w:tr w:rsidR="00C127A8" w:rsidRPr="009947B4" w:rsidTr="006A50FF">
        <w:trPr>
          <w:cantSplit/>
        </w:trPr>
        <w:tc>
          <w:tcPr>
            <w:tcW w:w="3060" w:type="dxa"/>
          </w:tcPr>
          <w:p w:rsidR="00C127A8" w:rsidRPr="009947B4" w:rsidRDefault="00C127A8" w:rsidP="00A67355">
            <w:pPr>
              <w:pStyle w:val="CVHeading1"/>
              <w:spacing w:before="0"/>
              <w:ind w:left="288" w:right="0" w:hanging="288"/>
              <w:rPr>
                <w:rFonts w:ascii="Times New Roman" w:hAnsi="Times New Roman"/>
              </w:rPr>
            </w:pPr>
          </w:p>
        </w:tc>
        <w:tc>
          <w:tcPr>
            <w:tcW w:w="7712" w:type="dxa"/>
            <w:gridSpan w:val="11"/>
          </w:tcPr>
          <w:p w:rsidR="00C127A8" w:rsidRPr="00A67355" w:rsidRDefault="009947B4" w:rsidP="00B366C5">
            <w:pPr>
              <w:pStyle w:val="CVNormal"/>
              <w:ind w:left="288" w:right="0" w:hanging="288"/>
              <w:jc w:val="both"/>
              <w:rPr>
                <w:rFonts w:ascii="Times New Roman" w:hAnsi="Times New Roman"/>
              </w:rPr>
            </w:pPr>
            <w:r w:rsidRPr="009947B4">
              <w:rPr>
                <w:rStyle w:val="Emphasis"/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“O clasă de mijloc nouă pe fundamente academic </w:t>
            </w:r>
            <w:r w:rsidRPr="009947B4">
              <w:rPr>
                <w:rStyle w:val="Emphasis"/>
                <w:rFonts w:ascii="Times New Roman" w:hAnsi="Times New Roman"/>
                <w:i w:val="0"/>
                <w:sz w:val="22"/>
                <w:szCs w:val="22"/>
              </w:rPr>
              <w:t>vechi: Studenți ai Facultății de Drept la Universitatea din Cluj în anii 1930</w:t>
            </w:r>
            <w:r w:rsidR="00016C7E">
              <w:rPr>
                <w:rStyle w:val="Emphasis"/>
                <w:rFonts w:ascii="Times New Roman" w:hAnsi="Times New Roman"/>
                <w:i w:val="0"/>
                <w:sz w:val="22"/>
                <w:szCs w:val="22"/>
              </w:rPr>
              <w:t>,</w:t>
            </w:r>
            <w:r w:rsidRPr="009947B4">
              <w:rPr>
                <w:rFonts w:ascii="Times New Roman" w:hAnsi="Times New Roman"/>
                <w:iCs/>
                <w:sz w:val="22"/>
                <w:lang w:val="en-US"/>
              </w:rPr>
              <w:t>”</w:t>
            </w:r>
            <w:r w:rsidR="00016C7E">
              <w:rPr>
                <w:rFonts w:ascii="Times New Roman" w:hAnsi="Times New Roman"/>
                <w:iCs/>
                <w:sz w:val="22"/>
                <w:lang w:val="en-US"/>
              </w:rPr>
              <w:t xml:space="preserve"> In </w:t>
            </w:r>
            <w:r w:rsidR="00016C7E">
              <w:rPr>
                <w:rFonts w:ascii="Times New Roman" w:hAnsi="Times New Roman"/>
                <w:i/>
                <w:iCs/>
                <w:sz w:val="22"/>
                <w:lang w:val="en-US"/>
              </w:rPr>
              <w:t xml:space="preserve">Alma Mater în derivă. Aspecte alternative ale vieții universitare interbelice, </w:t>
            </w:r>
            <w:r w:rsidR="00A67355">
              <w:rPr>
                <w:rFonts w:ascii="Times New Roman" w:hAnsi="Times New Roman"/>
                <w:iCs/>
                <w:sz w:val="22"/>
                <w:lang w:val="en-US"/>
              </w:rPr>
              <w:t>Eikon, Editori: Irina Nastasă-Matei, Zoltán Rostás, 2016, p. 81 – 107.</w:t>
            </w:r>
          </w:p>
        </w:tc>
      </w:tr>
    </w:tbl>
    <w:p w:rsidR="00032C66" w:rsidRPr="009947B4" w:rsidRDefault="00032C66" w:rsidP="00A67355">
      <w:pPr>
        <w:pStyle w:val="CVNormal"/>
        <w:ind w:left="288" w:right="0" w:hanging="288"/>
        <w:rPr>
          <w:rFonts w:ascii="Times New Roman" w:hAnsi="Times New Roman"/>
        </w:rPr>
      </w:pPr>
    </w:p>
    <w:sectPr w:rsidR="00032C66" w:rsidRPr="009947B4" w:rsidSect="00504C7A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D5" w:rsidRDefault="00990FD5">
      <w:r>
        <w:separator/>
      </w:r>
    </w:p>
  </w:endnote>
  <w:endnote w:type="continuationSeparator" w:id="1">
    <w:p w:rsidR="00990FD5" w:rsidRDefault="0099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032C66">
      <w:trPr>
        <w:cantSplit/>
      </w:trPr>
      <w:tc>
        <w:tcPr>
          <w:tcW w:w="3117" w:type="dxa"/>
        </w:tcPr>
        <w:p w:rsidR="00032C66" w:rsidRDefault="00032C66">
          <w:pPr>
            <w:pStyle w:val="CVFooterLeft"/>
          </w:pPr>
        </w:p>
      </w:tc>
      <w:tc>
        <w:tcPr>
          <w:tcW w:w="7655" w:type="dxa"/>
        </w:tcPr>
        <w:p w:rsidR="00032C66" w:rsidRDefault="00032C66">
          <w:pPr>
            <w:pStyle w:val="CVFooterRight"/>
          </w:pPr>
        </w:p>
      </w:tc>
    </w:tr>
  </w:tbl>
  <w:p w:rsidR="00032C66" w:rsidRDefault="00032C66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D5" w:rsidRDefault="00990FD5">
      <w:r>
        <w:separator/>
      </w:r>
    </w:p>
  </w:footnote>
  <w:footnote w:type="continuationSeparator" w:id="1">
    <w:p w:rsidR="00990FD5" w:rsidRDefault="00990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80EA5"/>
    <w:rsid w:val="00016C7E"/>
    <w:rsid w:val="00032C66"/>
    <w:rsid w:val="000D0949"/>
    <w:rsid w:val="00126572"/>
    <w:rsid w:val="00177FEA"/>
    <w:rsid w:val="00180EA5"/>
    <w:rsid w:val="00196EB4"/>
    <w:rsid w:val="00504C7A"/>
    <w:rsid w:val="005151EC"/>
    <w:rsid w:val="005207AB"/>
    <w:rsid w:val="00556AEC"/>
    <w:rsid w:val="00603726"/>
    <w:rsid w:val="006A2AC9"/>
    <w:rsid w:val="006A50FF"/>
    <w:rsid w:val="006F0E59"/>
    <w:rsid w:val="007159E7"/>
    <w:rsid w:val="007C36AA"/>
    <w:rsid w:val="008034C3"/>
    <w:rsid w:val="0092733A"/>
    <w:rsid w:val="009307B9"/>
    <w:rsid w:val="00990FD5"/>
    <w:rsid w:val="009947B4"/>
    <w:rsid w:val="00A26EF1"/>
    <w:rsid w:val="00A67355"/>
    <w:rsid w:val="00AF503D"/>
    <w:rsid w:val="00B34963"/>
    <w:rsid w:val="00B366C5"/>
    <w:rsid w:val="00B505D0"/>
    <w:rsid w:val="00C127A8"/>
    <w:rsid w:val="00C66BB5"/>
    <w:rsid w:val="00D0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7A"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504C7A"/>
  </w:style>
  <w:style w:type="character" w:styleId="PageNumber">
    <w:name w:val="page number"/>
    <w:basedOn w:val="WW-DefaultParagraphFont"/>
    <w:semiHidden/>
    <w:rsid w:val="00504C7A"/>
  </w:style>
  <w:style w:type="character" w:styleId="Hyperlink">
    <w:name w:val="Hyperlink"/>
    <w:basedOn w:val="WW-DefaultParagraphFont"/>
    <w:semiHidden/>
    <w:rsid w:val="00504C7A"/>
    <w:rPr>
      <w:color w:val="0000FF"/>
      <w:u w:val="single"/>
    </w:rPr>
  </w:style>
  <w:style w:type="character" w:customStyle="1" w:styleId="EndnoteCharacters">
    <w:name w:val="Endnote Characters"/>
    <w:rsid w:val="00504C7A"/>
  </w:style>
  <w:style w:type="character" w:customStyle="1" w:styleId="WW-DefaultParagraphFont">
    <w:name w:val="WW-Default Paragraph Font"/>
    <w:rsid w:val="00504C7A"/>
  </w:style>
  <w:style w:type="paragraph" w:styleId="BodyText">
    <w:name w:val="Body Text"/>
    <w:basedOn w:val="Normal"/>
    <w:semiHidden/>
    <w:rsid w:val="00504C7A"/>
    <w:pPr>
      <w:spacing w:after="120"/>
    </w:pPr>
  </w:style>
  <w:style w:type="paragraph" w:styleId="Header">
    <w:name w:val="header"/>
    <w:basedOn w:val="Normal"/>
    <w:semiHidden/>
    <w:rsid w:val="00504C7A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04C7A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504C7A"/>
    <w:pPr>
      <w:suppressLineNumbers/>
    </w:pPr>
  </w:style>
  <w:style w:type="paragraph" w:customStyle="1" w:styleId="TableHeading">
    <w:name w:val="Table Heading"/>
    <w:basedOn w:val="TableContents"/>
    <w:rsid w:val="00504C7A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504C7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504C7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504C7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04C7A"/>
    <w:pPr>
      <w:spacing w:before="74"/>
    </w:pPr>
  </w:style>
  <w:style w:type="paragraph" w:customStyle="1" w:styleId="CVHeading3">
    <w:name w:val="CV Heading 3"/>
    <w:basedOn w:val="Normal"/>
    <w:next w:val="Normal"/>
    <w:rsid w:val="00504C7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504C7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04C7A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504C7A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04C7A"/>
    <w:pPr>
      <w:textAlignment w:val="bottom"/>
    </w:pPr>
  </w:style>
  <w:style w:type="paragraph" w:customStyle="1" w:styleId="SmallGap">
    <w:name w:val="Small Gap"/>
    <w:basedOn w:val="Normal"/>
    <w:next w:val="Normal"/>
    <w:rsid w:val="00504C7A"/>
    <w:rPr>
      <w:sz w:val="10"/>
    </w:rPr>
  </w:style>
  <w:style w:type="paragraph" w:customStyle="1" w:styleId="CVHeadingLevel">
    <w:name w:val="CV Heading Level"/>
    <w:basedOn w:val="CVHeading3"/>
    <w:next w:val="Normal"/>
    <w:rsid w:val="00504C7A"/>
    <w:rPr>
      <w:i/>
    </w:rPr>
  </w:style>
  <w:style w:type="paragraph" w:customStyle="1" w:styleId="LevelAssessment-Heading1">
    <w:name w:val="Level Assessment - Heading 1"/>
    <w:basedOn w:val="LevelAssessment-Code"/>
    <w:rsid w:val="00504C7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504C7A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504C7A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504C7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504C7A"/>
    <w:pPr>
      <w:spacing w:before="74"/>
    </w:pPr>
  </w:style>
  <w:style w:type="paragraph" w:customStyle="1" w:styleId="CVMedium">
    <w:name w:val="CV Medium"/>
    <w:basedOn w:val="CVMajor"/>
    <w:rsid w:val="00504C7A"/>
    <w:rPr>
      <w:sz w:val="22"/>
    </w:rPr>
  </w:style>
  <w:style w:type="paragraph" w:customStyle="1" w:styleId="CVMedium-FirstLine">
    <w:name w:val="CV Medium - First Line"/>
    <w:basedOn w:val="CVMedium"/>
    <w:next w:val="CVMedium"/>
    <w:rsid w:val="00504C7A"/>
    <w:pPr>
      <w:spacing w:before="74"/>
    </w:pPr>
  </w:style>
  <w:style w:type="paragraph" w:customStyle="1" w:styleId="CVNormal">
    <w:name w:val="CV Normal"/>
    <w:basedOn w:val="CVMedium"/>
    <w:rsid w:val="00504C7A"/>
    <w:rPr>
      <w:b w:val="0"/>
      <w:sz w:val="20"/>
    </w:rPr>
  </w:style>
  <w:style w:type="paragraph" w:customStyle="1" w:styleId="CVSpacer">
    <w:name w:val="CV Spacer"/>
    <w:basedOn w:val="CVNormal"/>
    <w:rsid w:val="00504C7A"/>
    <w:rPr>
      <w:sz w:val="4"/>
    </w:rPr>
  </w:style>
  <w:style w:type="paragraph" w:customStyle="1" w:styleId="CVNormal-FirstLine">
    <w:name w:val="CV Normal - First Line"/>
    <w:basedOn w:val="CVNormal"/>
    <w:next w:val="CVNormal"/>
    <w:rsid w:val="00504C7A"/>
    <w:pPr>
      <w:spacing w:before="74"/>
    </w:pPr>
  </w:style>
  <w:style w:type="paragraph" w:customStyle="1" w:styleId="CVFooterLeft">
    <w:name w:val="CV Footer Left"/>
    <w:basedOn w:val="Normal"/>
    <w:rsid w:val="00504C7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504C7A"/>
    <w:rPr>
      <w:bCs/>
      <w:sz w:val="16"/>
      <w:lang w:val="de-DE"/>
    </w:rPr>
  </w:style>
  <w:style w:type="paragraph" w:customStyle="1" w:styleId="GridStandard">
    <w:name w:val="Grid Standard"/>
    <w:rsid w:val="00504C7A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504C7A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504C7A"/>
    <w:rPr>
      <w:sz w:val="16"/>
    </w:rPr>
  </w:style>
  <w:style w:type="paragraph" w:customStyle="1" w:styleId="GridLevel">
    <w:name w:val="Grid Level"/>
    <w:basedOn w:val="GridStandard"/>
    <w:rsid w:val="00504C7A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504C7A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504C7A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504C7A"/>
    <w:rPr>
      <w:sz w:val="16"/>
    </w:rPr>
  </w:style>
  <w:style w:type="character" w:styleId="Emphasis">
    <w:name w:val="Emphasis"/>
    <w:uiPriority w:val="20"/>
    <w:qFormat/>
    <w:rsid w:val="007C36AA"/>
    <w:rPr>
      <w:i/>
      <w:iCs/>
    </w:rPr>
  </w:style>
  <w:style w:type="paragraph" w:customStyle="1" w:styleId="Default">
    <w:name w:val="Default"/>
    <w:rsid w:val="00032C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">
    <w:name w:val="List"/>
    <w:basedOn w:val="Normal"/>
    <w:rsid w:val="00A26EF1"/>
    <w:pPr>
      <w:suppressAutoHyphens w:val="0"/>
      <w:ind w:left="283" w:hanging="283"/>
    </w:pPr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character" w:styleId="Emphasis">
    <w:name w:val="Emphasis"/>
    <w:qFormat/>
    <w:rsid w:val="007C36AA"/>
    <w:rPr>
      <w:i/>
      <w:iCs/>
    </w:rPr>
  </w:style>
  <w:style w:type="paragraph" w:customStyle="1" w:styleId="Default">
    <w:name w:val="Default"/>
    <w:rsid w:val="00032C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ffy@fspac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uropass.cedefop.europa.eu/LanguageSelfAssessmentGrid/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to.ubbcluj.r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F78D-49CA-4489-80DA-D89959B6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Zoltan</cp:lastModifiedBy>
  <cp:revision>3</cp:revision>
  <cp:lastPrinted>2005-01-20T14:27:00Z</cp:lastPrinted>
  <dcterms:created xsi:type="dcterms:W3CDTF">2016-07-14T07:42:00Z</dcterms:created>
  <dcterms:modified xsi:type="dcterms:W3CDTF">2016-12-06T15:34:00Z</dcterms:modified>
</cp:coreProperties>
</file>